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D5" w:rsidRPr="006E611C" w:rsidRDefault="00643BD5" w:rsidP="00B06737">
      <w:pPr>
        <w:jc w:val="both"/>
        <w:rPr>
          <w:b/>
          <w:bCs/>
          <w:sz w:val="22"/>
          <w:szCs w:val="22"/>
        </w:rPr>
      </w:pPr>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w:t>
      </w:r>
      <w:proofErr w:type="gramStart"/>
      <w:r w:rsidRPr="006E611C">
        <w:rPr>
          <w:sz w:val="22"/>
          <w:szCs w:val="22"/>
        </w:rPr>
        <w:t>A</w:t>
      </w:r>
      <w:proofErr w:type="gramEnd"/>
      <w:r w:rsidRPr="006E611C">
        <w:rPr>
          <w:sz w:val="22"/>
          <w:szCs w:val="22"/>
        </w:rPr>
        <w:t xml:space="preserve">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2012.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 xml:space="preserve">The accounting principles and bases used are consistent with those previously adopted in the preparation of the financial statements of CSC Steel Holdings </w:t>
      </w:r>
      <w:proofErr w:type="spellStart"/>
      <w:r w:rsidRPr="00667E29">
        <w:rPr>
          <w:sz w:val="22"/>
          <w:szCs w:val="22"/>
        </w:rPr>
        <w:t>Berhad</w:t>
      </w:r>
      <w:proofErr w:type="spellEnd"/>
      <w:r w:rsidRPr="00667E29">
        <w:rPr>
          <w:sz w:val="22"/>
          <w:szCs w:val="22"/>
        </w:rPr>
        <w:t xml:space="preserve">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101 Presentation of Financial Statements (Amendments relating to Presentation of Items of Other Comprehensive Income)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Mandatory Effective Date of MFRS 9 and Transition Disclosures (IFRS 9 issued by IASB in November 2009 and October 2010 respectively)]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7 Financial Instruments: Disclosures (Amendments relating to Disclosures - Offsetting Financial Assets and Liabilities)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10 Consolidated Financial Statements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MFRS 10 Consolidated Financial Statements (Amendments relating to Transition Guidance)</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 xml:space="preserve">MFRS 13 Fair Value Measurement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MFRSs contained in the document entitled Annual Improvements 2009-2011 cycle</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October 2009)</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9 Financial Instruments (IFRS 9 issued by IASB in November 2010)</w:t>
      </w:r>
    </w:p>
    <w:p w:rsidR="00667E29" w:rsidRPr="00667E29" w:rsidRDefault="00667E29" w:rsidP="00667E29">
      <w:pPr>
        <w:pStyle w:val="Default"/>
        <w:numPr>
          <w:ilvl w:val="0"/>
          <w:numId w:val="14"/>
        </w:numPr>
        <w:ind w:left="1440"/>
        <w:jc w:val="both"/>
        <w:rPr>
          <w:rFonts w:ascii="Times New Roman" w:hAnsi="Times New Roman" w:cs="Times New Roman"/>
          <w:sz w:val="22"/>
          <w:szCs w:val="22"/>
        </w:rPr>
      </w:pPr>
      <w:r w:rsidRPr="00667E29">
        <w:rPr>
          <w:rFonts w:ascii="Times New Roman" w:hAnsi="Times New Roman" w:cs="Times New Roman"/>
          <w:sz w:val="22"/>
          <w:szCs w:val="22"/>
        </w:rPr>
        <w:t>MFRS 132 Financial Instruments: Presentation (Amendments relating to Offsetting Financial Assets and Financial Liabilities)</w:t>
      </w:r>
    </w:p>
    <w:p w:rsidR="00667E29" w:rsidRPr="00667E29" w:rsidRDefault="00667E29" w:rsidP="00667E29">
      <w:pPr>
        <w:ind w:left="1080"/>
        <w:jc w:val="both"/>
        <w:rPr>
          <w:sz w:val="22"/>
          <w:szCs w:val="22"/>
        </w:rPr>
      </w:pPr>
    </w:p>
    <w:p w:rsidR="00667E29" w:rsidRP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643BD5" w:rsidRPr="006E611C" w:rsidRDefault="00643BD5" w:rsidP="008A18FC">
      <w:pPr>
        <w:numPr>
          <w:ilvl w:val="0"/>
          <w:numId w:val="1"/>
        </w:numPr>
        <w:jc w:val="both"/>
        <w:rPr>
          <w:b/>
          <w:bCs/>
          <w:sz w:val="22"/>
          <w:szCs w:val="22"/>
        </w:rPr>
      </w:pPr>
      <w:r w:rsidRPr="006E611C">
        <w:rPr>
          <w:b/>
          <w:bCs/>
          <w:sz w:val="22"/>
          <w:szCs w:val="22"/>
        </w:rPr>
        <w:lastRenderedPageBreak/>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6743DF">
        <w:rPr>
          <w:sz w:val="22"/>
          <w:szCs w:val="22"/>
        </w:rPr>
        <w:t>2</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037950" w:rsidRDefault="00037950" w:rsidP="002C24D4">
      <w:pPr>
        <w:pStyle w:val="BodyTextIndent"/>
        <w:ind w:left="1080"/>
        <w:jc w:val="both"/>
        <w:rPr>
          <w:sz w:val="22"/>
          <w:szCs w:val="22"/>
        </w:rPr>
      </w:pPr>
      <w:r>
        <w:rPr>
          <w:sz w:val="22"/>
          <w:szCs w:val="22"/>
        </w:rPr>
        <w:t xml:space="preserve">During the quarter under review a final single tier system of dividend of 5% or 5 </w:t>
      </w:r>
      <w:proofErr w:type="spellStart"/>
      <w:r>
        <w:rPr>
          <w:sz w:val="22"/>
          <w:szCs w:val="22"/>
        </w:rPr>
        <w:t>sen</w:t>
      </w:r>
      <w:proofErr w:type="spellEnd"/>
      <w:r>
        <w:rPr>
          <w:sz w:val="22"/>
          <w:szCs w:val="22"/>
        </w:rPr>
        <w:t xml:space="preserve"> per share and a special single tier system of dividend of 2% or 2 </w:t>
      </w:r>
      <w:proofErr w:type="spellStart"/>
      <w:r>
        <w:rPr>
          <w:sz w:val="22"/>
          <w:szCs w:val="22"/>
        </w:rPr>
        <w:t>sen</w:t>
      </w:r>
      <w:proofErr w:type="spellEnd"/>
      <w:r>
        <w:rPr>
          <w:sz w:val="22"/>
          <w:szCs w:val="22"/>
        </w:rPr>
        <w:t xml:space="preserve"> per share for the financial year ended 2012 were paid on 11</w:t>
      </w:r>
      <w:r w:rsidRPr="00037950">
        <w:rPr>
          <w:sz w:val="22"/>
          <w:szCs w:val="22"/>
          <w:vertAlign w:val="superscript"/>
        </w:rPr>
        <w:t>th</w:t>
      </w:r>
      <w:r>
        <w:rPr>
          <w:sz w:val="22"/>
          <w:szCs w:val="22"/>
        </w:rPr>
        <w:t xml:space="preserve"> July 2013 to the Company’s shareholders whose names appeared on the Register of Members at the close of business on 28</w:t>
      </w:r>
      <w:r w:rsidRPr="00037950">
        <w:rPr>
          <w:sz w:val="22"/>
          <w:szCs w:val="22"/>
          <w:vertAlign w:val="superscript"/>
        </w:rPr>
        <w:t>th</w:t>
      </w:r>
      <w:r>
        <w:rPr>
          <w:sz w:val="22"/>
          <w:szCs w:val="22"/>
        </w:rPr>
        <w:t xml:space="preserve"> June 2013.</w:t>
      </w:r>
    </w:p>
    <w:p w:rsidR="00037950" w:rsidRDefault="00037950" w:rsidP="008A18FC">
      <w:pPr>
        <w:tabs>
          <w:tab w:val="left" w:pos="1080"/>
        </w:tabs>
        <w:ind w:left="360"/>
        <w:jc w:val="both"/>
        <w:rPr>
          <w:b/>
          <w:bCs/>
          <w:sz w:val="22"/>
          <w:szCs w:val="22"/>
        </w:rPr>
      </w:pPr>
    </w:p>
    <w:p w:rsidR="00037950" w:rsidRDefault="00037950" w:rsidP="008A18FC">
      <w:pPr>
        <w:tabs>
          <w:tab w:val="left" w:pos="1080"/>
        </w:tabs>
        <w:ind w:left="360"/>
        <w:jc w:val="both"/>
        <w:rPr>
          <w:b/>
          <w:bCs/>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439693"/>
    <w:bookmarkEnd w:id="0"/>
    <w:bookmarkStart w:id="1" w:name="_MON_1396707253"/>
    <w:bookmarkEnd w:id="1"/>
    <w:p w:rsidR="00643BD5" w:rsidRDefault="002F5F61" w:rsidP="008A18FC">
      <w:pPr>
        <w:tabs>
          <w:tab w:val="left" w:pos="1080"/>
        </w:tabs>
        <w:ind w:left="1080"/>
        <w:jc w:val="both"/>
        <w:rPr>
          <w:b/>
          <w:bCs/>
          <w:sz w:val="22"/>
          <w:szCs w:val="22"/>
        </w:rPr>
      </w:pPr>
      <w:r w:rsidRPr="006E611C">
        <w:rPr>
          <w:b/>
          <w:bCs/>
          <w:sz w:val="22"/>
          <w:szCs w:val="22"/>
        </w:rPr>
        <w:object w:dxaOrig="8019"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158.25pt" o:ole="" fillcolor="window">
            <v:imagedata r:id="rId8" o:title=""/>
          </v:shape>
          <o:OLEObject Type="Embed" ProgID="Excel.Sheet.8" ShapeID="_x0000_i1025" DrawAspect="Content" ObjectID="_1445438187" r:id="rId9"/>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t>*Steel coils</w:t>
      </w:r>
      <w:r w:rsidRPr="006E611C">
        <w:rPr>
          <w:bCs/>
          <w:sz w:val="22"/>
          <w:szCs w:val="22"/>
        </w:rPr>
        <w:tab/>
        <w:t xml:space="preserve">– cold rolled, </w:t>
      </w:r>
      <w:proofErr w:type="spellStart"/>
      <w:r w:rsidRPr="006E611C">
        <w:rPr>
          <w:bCs/>
          <w:sz w:val="22"/>
          <w:szCs w:val="22"/>
        </w:rPr>
        <w:t>galvani</w:t>
      </w:r>
      <w:r w:rsidR="00ED0FDF">
        <w:rPr>
          <w:bCs/>
          <w:sz w:val="22"/>
          <w:szCs w:val="22"/>
        </w:rPr>
        <w:t>s</w:t>
      </w:r>
      <w:r w:rsidRPr="006E611C">
        <w:rPr>
          <w:bCs/>
          <w:sz w:val="22"/>
          <w:szCs w:val="22"/>
        </w:rPr>
        <w:t>ed</w:t>
      </w:r>
      <w:proofErr w:type="spellEnd"/>
      <w:r w:rsidRPr="006E611C">
        <w:rPr>
          <w:bCs/>
          <w:sz w:val="22"/>
          <w:szCs w:val="22"/>
        </w:rPr>
        <w:t xml:space="preserve"> &amp; pre-painted </w:t>
      </w:r>
      <w:proofErr w:type="spellStart"/>
      <w:r w:rsidRPr="006E611C">
        <w:rPr>
          <w:bCs/>
          <w:sz w:val="22"/>
          <w:szCs w:val="22"/>
        </w:rPr>
        <w:t>galvanised</w:t>
      </w:r>
      <w:proofErr w:type="spellEnd"/>
      <w:r w:rsidRPr="006E611C">
        <w:rPr>
          <w:bCs/>
          <w:sz w:val="22"/>
          <w:szCs w:val="22"/>
        </w:rPr>
        <w:t xml:space="preserve">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t>As at the end of the reporting quarter the Group’s bio-coal plant has yet to commence commercial production.</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2F5F61" w:rsidP="002F5F61">
      <w:pPr>
        <w:ind w:left="1080"/>
        <w:jc w:val="both"/>
        <w:rPr>
          <w:sz w:val="22"/>
          <w:szCs w:val="22"/>
        </w:rPr>
      </w:pPr>
      <w:r>
        <w:rPr>
          <w:sz w:val="22"/>
          <w:szCs w:val="22"/>
        </w:rPr>
        <w:t>T</w:t>
      </w:r>
      <w:r w:rsidR="0036383F" w:rsidRPr="0041569E">
        <w:rPr>
          <w:sz w:val="22"/>
          <w:szCs w:val="22"/>
        </w:rPr>
        <w:t xml:space="preserve">here </w:t>
      </w:r>
      <w:r>
        <w:rPr>
          <w:sz w:val="22"/>
          <w:szCs w:val="22"/>
        </w:rPr>
        <w:t>is</w:t>
      </w:r>
      <w:r w:rsidR="0036383F" w:rsidRPr="0041569E">
        <w:rPr>
          <w:sz w:val="22"/>
          <w:szCs w:val="22"/>
        </w:rPr>
        <w:t xml:space="preserve"> no </w:t>
      </w:r>
      <w:r>
        <w:rPr>
          <w:sz w:val="22"/>
          <w:szCs w:val="22"/>
        </w:rPr>
        <w:t>change</w:t>
      </w:r>
      <w:r w:rsidR="0036383F" w:rsidRPr="0041569E">
        <w:rPr>
          <w:sz w:val="22"/>
          <w:szCs w:val="22"/>
        </w:rPr>
        <w:t xml:space="preserve"> </w:t>
      </w:r>
      <w:r w:rsidR="0036383F" w:rsidRPr="006E611C">
        <w:rPr>
          <w:sz w:val="22"/>
          <w:szCs w:val="22"/>
        </w:rPr>
        <w:t>in the composition of the Group during the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firstRow="1" w:lastRow="1" w:firstColumn="1" w:lastColumn="1" w:noHBand="0" w:noVBand="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2F5F61">
            <w:pPr>
              <w:widowControl w:val="0"/>
              <w:tabs>
                <w:tab w:val="left" w:pos="1080"/>
              </w:tabs>
              <w:jc w:val="center"/>
              <w:rPr>
                <w:rFonts w:eastAsia="Times New Roman"/>
                <w:sz w:val="22"/>
                <w:szCs w:val="22"/>
              </w:rPr>
            </w:pPr>
            <w:r w:rsidRPr="006E611C">
              <w:rPr>
                <w:rFonts w:eastAsia="Times New Roman"/>
                <w:iCs/>
                <w:sz w:val="22"/>
                <w:szCs w:val="22"/>
              </w:rPr>
              <w:t xml:space="preserve">      </w:t>
            </w:r>
            <w:r w:rsidR="00025622">
              <w:rPr>
                <w:rFonts w:eastAsia="Times New Roman"/>
                <w:iCs/>
                <w:sz w:val="22"/>
                <w:szCs w:val="22"/>
              </w:rPr>
              <w:t>5</w:t>
            </w:r>
            <w:r w:rsidR="0036383F" w:rsidRPr="006E611C">
              <w:rPr>
                <w:rFonts w:eastAsia="Times New Roman"/>
                <w:iCs/>
                <w:sz w:val="22"/>
                <w:szCs w:val="22"/>
              </w:rPr>
              <w:t>,</w:t>
            </w:r>
            <w:r w:rsidR="002F5F61">
              <w:rPr>
                <w:rFonts w:eastAsia="Times New Roman"/>
                <w:iCs/>
                <w:sz w:val="22"/>
                <w:szCs w:val="22"/>
              </w:rPr>
              <w:t>257</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E17A7B">
            <w:pPr>
              <w:widowControl w:val="0"/>
              <w:tabs>
                <w:tab w:val="left" w:pos="1080"/>
              </w:tabs>
              <w:jc w:val="center"/>
              <w:rPr>
                <w:rFonts w:eastAsia="Times New Roman"/>
                <w:sz w:val="22"/>
                <w:szCs w:val="22"/>
              </w:rPr>
            </w:pPr>
            <w:r w:rsidRPr="006E611C">
              <w:rPr>
                <w:iCs/>
                <w:sz w:val="22"/>
                <w:szCs w:val="22"/>
              </w:rPr>
              <w:t xml:space="preserve">    </w:t>
            </w:r>
            <w:r w:rsidR="00E17A7B">
              <w:rPr>
                <w:iCs/>
                <w:sz w:val="22"/>
                <w:szCs w:val="22"/>
              </w:rPr>
              <w:t>19</w:t>
            </w:r>
            <w:r w:rsidR="0036383F" w:rsidRPr="006E611C">
              <w:rPr>
                <w:iCs/>
                <w:sz w:val="22"/>
                <w:szCs w:val="22"/>
              </w:rPr>
              <w:t>,</w:t>
            </w:r>
            <w:r w:rsidR="00E17A7B">
              <w:rPr>
                <w:iCs/>
                <w:sz w:val="22"/>
                <w:szCs w:val="22"/>
              </w:rPr>
              <w:t>768</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2F5F61">
            <w:pPr>
              <w:widowControl w:val="0"/>
              <w:tabs>
                <w:tab w:val="left" w:pos="1080"/>
              </w:tabs>
              <w:rPr>
                <w:rFonts w:eastAsia="Times New Roman"/>
                <w:sz w:val="22"/>
                <w:szCs w:val="22"/>
              </w:rPr>
            </w:pPr>
            <w:r w:rsidRPr="006E611C">
              <w:rPr>
                <w:rFonts w:eastAsia="Times New Roman"/>
                <w:sz w:val="22"/>
                <w:szCs w:val="22"/>
              </w:rPr>
              <w:t xml:space="preserve">      </w:t>
            </w:r>
            <w:r w:rsidR="0036383F" w:rsidRPr="006E611C">
              <w:rPr>
                <w:rFonts w:eastAsia="Times New Roman"/>
                <w:sz w:val="22"/>
                <w:szCs w:val="22"/>
              </w:rPr>
              <w:t>2</w:t>
            </w:r>
            <w:r w:rsidR="00E17A7B">
              <w:rPr>
                <w:rFonts w:eastAsia="Times New Roman"/>
                <w:sz w:val="22"/>
                <w:szCs w:val="22"/>
              </w:rPr>
              <w:t>5</w:t>
            </w:r>
            <w:r w:rsidR="0036383F" w:rsidRPr="006E611C">
              <w:rPr>
                <w:rFonts w:eastAsia="Times New Roman"/>
                <w:sz w:val="22"/>
                <w:szCs w:val="22"/>
              </w:rPr>
              <w:t>,</w:t>
            </w:r>
            <w:r w:rsidR="002F5F61">
              <w:rPr>
                <w:rFonts w:eastAsia="Times New Roman"/>
                <w:sz w:val="22"/>
                <w:szCs w:val="22"/>
              </w:rPr>
              <w:t>02</w:t>
            </w:r>
            <w:r w:rsidR="00E17A7B">
              <w:rPr>
                <w:rFonts w:eastAsia="Times New Roman"/>
                <w:sz w:val="22"/>
                <w:szCs w:val="22"/>
              </w:rPr>
              <w:t>5</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0B3D1A" w:rsidRPr="006E611C" w:rsidRDefault="00643BD5" w:rsidP="000B3D1A">
      <w:pPr>
        <w:ind w:left="1080"/>
        <w:jc w:val="both"/>
        <w:rPr>
          <w:sz w:val="22"/>
          <w:szCs w:val="22"/>
        </w:rPr>
      </w:pPr>
      <w:r w:rsidRPr="006E611C">
        <w:rPr>
          <w:sz w:val="22"/>
          <w:szCs w:val="22"/>
        </w:rPr>
        <w:t>The G</w:t>
      </w:r>
      <w:r w:rsidR="00BD57C6" w:rsidRPr="006E611C">
        <w:rPr>
          <w:sz w:val="22"/>
          <w:szCs w:val="22"/>
        </w:rPr>
        <w:t>roup achieved revenue and profit</w:t>
      </w:r>
      <w:r w:rsidRPr="006E611C">
        <w:rPr>
          <w:sz w:val="22"/>
          <w:szCs w:val="22"/>
        </w:rPr>
        <w:t xml:space="preserve"> before tax for the current quarter of RM</w:t>
      </w:r>
      <w:r w:rsidR="004F3529">
        <w:rPr>
          <w:sz w:val="22"/>
          <w:szCs w:val="22"/>
        </w:rPr>
        <w:t>2</w:t>
      </w:r>
      <w:r w:rsidR="0004024B">
        <w:rPr>
          <w:sz w:val="22"/>
          <w:szCs w:val="22"/>
        </w:rPr>
        <w:t>57</w:t>
      </w:r>
      <w:r w:rsidR="004F3529">
        <w:rPr>
          <w:sz w:val="22"/>
          <w:szCs w:val="22"/>
        </w:rPr>
        <w:t>.</w:t>
      </w:r>
      <w:r w:rsidR="0004024B">
        <w:rPr>
          <w:sz w:val="22"/>
          <w:szCs w:val="22"/>
        </w:rPr>
        <w:t>5</w:t>
      </w:r>
      <w:r w:rsidR="000B3D1A" w:rsidRPr="006E611C">
        <w:rPr>
          <w:sz w:val="22"/>
          <w:szCs w:val="22"/>
        </w:rPr>
        <w:t xml:space="preserve"> million and RM</w:t>
      </w:r>
      <w:r w:rsidR="0004024B">
        <w:rPr>
          <w:sz w:val="22"/>
          <w:szCs w:val="22"/>
        </w:rPr>
        <w:t>3.8</w:t>
      </w:r>
      <w:r w:rsidRPr="006E611C">
        <w:rPr>
          <w:sz w:val="22"/>
          <w:szCs w:val="22"/>
        </w:rPr>
        <w:t xml:space="preserve"> million respectively. This represents a</w:t>
      </w:r>
      <w:r w:rsidR="004F3529">
        <w:rPr>
          <w:sz w:val="22"/>
          <w:szCs w:val="22"/>
        </w:rPr>
        <w:t xml:space="preserve"> reduction </w:t>
      </w:r>
      <w:r w:rsidRPr="006E611C">
        <w:rPr>
          <w:sz w:val="22"/>
          <w:szCs w:val="22"/>
        </w:rPr>
        <w:t>of RM</w:t>
      </w:r>
      <w:r w:rsidR="0004024B">
        <w:rPr>
          <w:sz w:val="22"/>
          <w:szCs w:val="22"/>
        </w:rPr>
        <w:t>49.2</w:t>
      </w:r>
      <w:r w:rsidR="00C222E9" w:rsidRPr="006E611C">
        <w:rPr>
          <w:sz w:val="22"/>
          <w:szCs w:val="22"/>
        </w:rPr>
        <w:t xml:space="preserve"> million or </w:t>
      </w:r>
      <w:r w:rsidR="0004024B">
        <w:rPr>
          <w:sz w:val="22"/>
          <w:szCs w:val="22"/>
        </w:rPr>
        <w:t>1</w:t>
      </w:r>
      <w:r w:rsidR="004F3529">
        <w:rPr>
          <w:sz w:val="22"/>
          <w:szCs w:val="22"/>
        </w:rPr>
        <w:t>6.</w:t>
      </w:r>
      <w:r w:rsidR="0004024B">
        <w:rPr>
          <w:sz w:val="22"/>
          <w:szCs w:val="22"/>
        </w:rPr>
        <w:t>0</w:t>
      </w:r>
      <w:r w:rsidRPr="006E611C">
        <w:rPr>
          <w:sz w:val="22"/>
          <w:szCs w:val="22"/>
        </w:rPr>
        <w:t xml:space="preserve">% </w:t>
      </w:r>
      <w:r w:rsidR="004F3529">
        <w:rPr>
          <w:sz w:val="22"/>
          <w:szCs w:val="22"/>
        </w:rPr>
        <w:t>lower</w:t>
      </w:r>
      <w:r w:rsidR="00D07FCC">
        <w:rPr>
          <w:sz w:val="22"/>
          <w:szCs w:val="22"/>
        </w:rPr>
        <w:t xml:space="preserve"> </w:t>
      </w:r>
      <w:r w:rsidRPr="006E611C">
        <w:rPr>
          <w:sz w:val="22"/>
          <w:szCs w:val="22"/>
        </w:rPr>
        <w:t>in revenue than that of its corresponding quarter.</w:t>
      </w:r>
      <w:r w:rsidR="000B3D1A" w:rsidRPr="006E611C">
        <w:rPr>
          <w:sz w:val="22"/>
          <w:szCs w:val="22"/>
        </w:rPr>
        <w:t xml:space="preserve"> </w:t>
      </w:r>
      <w:r w:rsidR="00960EE8">
        <w:rPr>
          <w:sz w:val="22"/>
          <w:szCs w:val="22"/>
        </w:rPr>
        <w:t xml:space="preserve">As a result of the </w:t>
      </w:r>
      <w:r w:rsidR="004F3529">
        <w:rPr>
          <w:sz w:val="22"/>
          <w:szCs w:val="22"/>
        </w:rPr>
        <w:t>lower</w:t>
      </w:r>
      <w:r w:rsidR="00960EE8">
        <w:rPr>
          <w:sz w:val="22"/>
          <w:szCs w:val="22"/>
        </w:rPr>
        <w:t xml:space="preserve"> revenue,</w:t>
      </w:r>
      <w:r w:rsidR="000B3D1A" w:rsidRPr="006E611C">
        <w:rPr>
          <w:sz w:val="22"/>
          <w:szCs w:val="22"/>
        </w:rPr>
        <w:t xml:space="preserve"> profit before tax </w:t>
      </w:r>
      <w:r w:rsidR="004F3529">
        <w:rPr>
          <w:sz w:val="22"/>
          <w:szCs w:val="22"/>
        </w:rPr>
        <w:t>de</w:t>
      </w:r>
      <w:r w:rsidR="000B3D1A" w:rsidRPr="006E611C">
        <w:rPr>
          <w:sz w:val="22"/>
          <w:szCs w:val="22"/>
        </w:rPr>
        <w:t xml:space="preserve">crease </w:t>
      </w:r>
      <w:r w:rsidR="00960EE8">
        <w:rPr>
          <w:sz w:val="22"/>
          <w:szCs w:val="22"/>
        </w:rPr>
        <w:t>by RM</w:t>
      </w:r>
      <w:r w:rsidR="000976FA">
        <w:rPr>
          <w:sz w:val="22"/>
          <w:szCs w:val="22"/>
        </w:rPr>
        <w:t>4.</w:t>
      </w:r>
      <w:r w:rsidR="0004024B">
        <w:rPr>
          <w:sz w:val="22"/>
          <w:szCs w:val="22"/>
        </w:rPr>
        <w:t>2</w:t>
      </w:r>
      <w:r w:rsidR="00960EE8">
        <w:rPr>
          <w:sz w:val="22"/>
          <w:szCs w:val="22"/>
        </w:rPr>
        <w:t xml:space="preserve"> million </w:t>
      </w:r>
      <w:r w:rsidR="00DC373A">
        <w:rPr>
          <w:sz w:val="22"/>
          <w:szCs w:val="22"/>
        </w:rPr>
        <w:t>from RM</w:t>
      </w:r>
      <w:r w:rsidR="0004024B">
        <w:rPr>
          <w:sz w:val="22"/>
          <w:szCs w:val="22"/>
        </w:rPr>
        <w:t>8.0</w:t>
      </w:r>
      <w:r w:rsidR="00960EE8">
        <w:rPr>
          <w:sz w:val="22"/>
          <w:szCs w:val="22"/>
        </w:rPr>
        <w:t xml:space="preserve"> </w:t>
      </w:r>
      <w:r w:rsidR="00DC373A">
        <w:rPr>
          <w:sz w:val="22"/>
          <w:szCs w:val="22"/>
        </w:rPr>
        <w:t>million in the corresponding quarter.</w:t>
      </w:r>
      <w:r w:rsidR="000B3D1A" w:rsidRPr="006E611C">
        <w:rPr>
          <w:sz w:val="22"/>
          <w:szCs w:val="22"/>
        </w:rPr>
        <w:t xml:space="preserve"> </w:t>
      </w:r>
    </w:p>
    <w:p w:rsidR="003C10CF" w:rsidRDefault="00871CCA" w:rsidP="00586950">
      <w:pPr>
        <w:ind w:left="1080"/>
        <w:jc w:val="both"/>
        <w:rPr>
          <w:sz w:val="22"/>
          <w:szCs w:val="22"/>
        </w:rPr>
      </w:pPr>
      <w:r w:rsidRPr="006E611C">
        <w:rPr>
          <w:sz w:val="22"/>
          <w:szCs w:val="22"/>
        </w:rPr>
        <w:t>The</w:t>
      </w:r>
      <w:r w:rsidR="000B3D1A" w:rsidRPr="006E611C">
        <w:rPr>
          <w:sz w:val="22"/>
          <w:szCs w:val="22"/>
        </w:rPr>
        <w:t xml:space="preserve"> </w:t>
      </w:r>
      <w:r w:rsidR="0004024B">
        <w:rPr>
          <w:sz w:val="22"/>
          <w:szCs w:val="22"/>
        </w:rPr>
        <w:t xml:space="preserve">significant </w:t>
      </w:r>
      <w:r w:rsidR="000976FA">
        <w:rPr>
          <w:sz w:val="22"/>
          <w:szCs w:val="22"/>
        </w:rPr>
        <w:t>de</w:t>
      </w:r>
      <w:r w:rsidR="00643BD5" w:rsidRPr="006E611C">
        <w:rPr>
          <w:sz w:val="22"/>
          <w:szCs w:val="22"/>
        </w:rPr>
        <w:t xml:space="preserve">crease in revenue </w:t>
      </w:r>
      <w:r w:rsidR="00931F0D">
        <w:rPr>
          <w:sz w:val="22"/>
          <w:szCs w:val="22"/>
        </w:rPr>
        <w:t xml:space="preserve">is primarily due to </w:t>
      </w:r>
      <w:r w:rsidR="009F4B15">
        <w:rPr>
          <w:sz w:val="22"/>
          <w:szCs w:val="22"/>
        </w:rPr>
        <w:t xml:space="preserve">the </w:t>
      </w:r>
      <w:r w:rsidR="0004024B">
        <w:rPr>
          <w:sz w:val="22"/>
          <w:szCs w:val="22"/>
        </w:rPr>
        <w:t xml:space="preserve">significant </w:t>
      </w:r>
      <w:r w:rsidR="000976FA">
        <w:rPr>
          <w:sz w:val="22"/>
          <w:szCs w:val="22"/>
        </w:rPr>
        <w:t xml:space="preserve">reduction </w:t>
      </w:r>
      <w:r w:rsidR="00960EE8">
        <w:rPr>
          <w:sz w:val="22"/>
          <w:szCs w:val="22"/>
        </w:rPr>
        <w:t xml:space="preserve">in sales volume of </w:t>
      </w:r>
      <w:r w:rsidR="00FA6833">
        <w:rPr>
          <w:sz w:val="22"/>
          <w:szCs w:val="22"/>
        </w:rPr>
        <w:t xml:space="preserve">some of </w:t>
      </w:r>
      <w:r w:rsidR="00960EE8">
        <w:rPr>
          <w:sz w:val="22"/>
          <w:szCs w:val="22"/>
        </w:rPr>
        <w:t xml:space="preserve">our steel products </w:t>
      </w:r>
      <w:r w:rsidR="000976FA">
        <w:rPr>
          <w:sz w:val="22"/>
          <w:szCs w:val="22"/>
        </w:rPr>
        <w:t xml:space="preserve">and </w:t>
      </w:r>
      <w:r w:rsidR="0004024B">
        <w:rPr>
          <w:sz w:val="22"/>
          <w:szCs w:val="22"/>
        </w:rPr>
        <w:t xml:space="preserve">significant </w:t>
      </w:r>
      <w:r w:rsidR="000976FA">
        <w:rPr>
          <w:sz w:val="22"/>
          <w:szCs w:val="22"/>
        </w:rPr>
        <w:t xml:space="preserve">drop in </w:t>
      </w:r>
      <w:r w:rsidR="009F4B15">
        <w:rPr>
          <w:sz w:val="22"/>
          <w:szCs w:val="22"/>
        </w:rPr>
        <w:t xml:space="preserve">their </w:t>
      </w:r>
      <w:r w:rsidR="000976FA">
        <w:rPr>
          <w:sz w:val="22"/>
          <w:szCs w:val="22"/>
        </w:rPr>
        <w:t>selling prices</w:t>
      </w:r>
      <w:r w:rsidR="00931F0D">
        <w:rPr>
          <w:sz w:val="22"/>
          <w:szCs w:val="22"/>
        </w:rPr>
        <w:t>.</w:t>
      </w:r>
      <w:r w:rsidR="00461539">
        <w:rPr>
          <w:sz w:val="22"/>
          <w:szCs w:val="22"/>
        </w:rPr>
        <w:t xml:space="preserve"> </w:t>
      </w:r>
      <w:r w:rsidR="001C4492">
        <w:rPr>
          <w:sz w:val="22"/>
          <w:szCs w:val="22"/>
        </w:rPr>
        <w:t xml:space="preserve">The </w:t>
      </w:r>
      <w:r w:rsidR="00B52618">
        <w:rPr>
          <w:sz w:val="22"/>
          <w:szCs w:val="22"/>
        </w:rPr>
        <w:t xml:space="preserve">lower </w:t>
      </w:r>
      <w:r w:rsidR="00461539">
        <w:rPr>
          <w:sz w:val="22"/>
          <w:szCs w:val="22"/>
        </w:rPr>
        <w:t xml:space="preserve">profit before tax </w:t>
      </w:r>
      <w:r w:rsidR="003A38E1">
        <w:rPr>
          <w:sz w:val="22"/>
          <w:szCs w:val="22"/>
        </w:rPr>
        <w:t>is</w:t>
      </w:r>
      <w:r w:rsidR="00461539">
        <w:rPr>
          <w:sz w:val="22"/>
          <w:szCs w:val="22"/>
        </w:rPr>
        <w:t xml:space="preserve"> due to </w:t>
      </w:r>
      <w:r w:rsidR="000976FA">
        <w:rPr>
          <w:sz w:val="22"/>
          <w:szCs w:val="22"/>
        </w:rPr>
        <w:t xml:space="preserve">the </w:t>
      </w:r>
      <w:r w:rsidR="00B52618">
        <w:rPr>
          <w:sz w:val="22"/>
          <w:szCs w:val="22"/>
        </w:rPr>
        <w:t>aforementioned factors</w:t>
      </w:r>
      <w:r w:rsidR="009B5781">
        <w:rPr>
          <w:sz w:val="22"/>
          <w:szCs w:val="22"/>
        </w:rPr>
        <w:t>,</w:t>
      </w:r>
      <w:r w:rsidR="00B52618">
        <w:rPr>
          <w:sz w:val="22"/>
          <w:szCs w:val="22"/>
        </w:rPr>
        <w:t xml:space="preserve"> higher distribution </w:t>
      </w:r>
      <w:r w:rsidR="006C51A9">
        <w:rPr>
          <w:sz w:val="22"/>
          <w:szCs w:val="22"/>
        </w:rPr>
        <w:t>expenses</w:t>
      </w:r>
      <w:r w:rsidR="00B52618">
        <w:rPr>
          <w:sz w:val="22"/>
          <w:szCs w:val="22"/>
        </w:rPr>
        <w:t xml:space="preserve"> as a result of greater export volume</w:t>
      </w:r>
      <w:r w:rsidR="009B5781">
        <w:rPr>
          <w:sz w:val="22"/>
          <w:szCs w:val="22"/>
        </w:rPr>
        <w:t xml:space="preserve"> and </w:t>
      </w:r>
      <w:r w:rsidR="00E9271E">
        <w:rPr>
          <w:sz w:val="22"/>
          <w:szCs w:val="22"/>
        </w:rPr>
        <w:t xml:space="preserve">the </w:t>
      </w:r>
      <w:r w:rsidR="009B5781">
        <w:rPr>
          <w:sz w:val="22"/>
          <w:szCs w:val="22"/>
        </w:rPr>
        <w:t xml:space="preserve">weakened Ringgit as a result of </w:t>
      </w:r>
      <w:r w:rsidR="00997C13">
        <w:rPr>
          <w:sz w:val="22"/>
          <w:szCs w:val="22"/>
        </w:rPr>
        <w:t xml:space="preserve">the </w:t>
      </w:r>
      <w:r w:rsidR="00F3777B">
        <w:rPr>
          <w:sz w:val="22"/>
          <w:szCs w:val="22"/>
        </w:rPr>
        <w:t xml:space="preserve">downgrade </w:t>
      </w:r>
      <w:r w:rsidR="00997C13">
        <w:rPr>
          <w:sz w:val="22"/>
          <w:szCs w:val="22"/>
        </w:rPr>
        <w:t xml:space="preserve">watch </w:t>
      </w:r>
      <w:r w:rsidR="00F3777B">
        <w:rPr>
          <w:sz w:val="22"/>
          <w:szCs w:val="22"/>
        </w:rPr>
        <w:t xml:space="preserve">by </w:t>
      </w:r>
      <w:r w:rsidR="009B5781">
        <w:rPr>
          <w:sz w:val="22"/>
          <w:szCs w:val="22"/>
        </w:rPr>
        <w:t>Fitch</w:t>
      </w:r>
      <w:r w:rsidR="00F3777B">
        <w:rPr>
          <w:sz w:val="22"/>
          <w:szCs w:val="22"/>
        </w:rPr>
        <w:t xml:space="preserve"> Ratings on Malaysia</w:t>
      </w:r>
      <w:r w:rsidR="00B52618">
        <w:rPr>
          <w:sz w:val="22"/>
          <w:szCs w:val="22"/>
        </w:rPr>
        <w:t>.</w:t>
      </w:r>
    </w:p>
    <w:p w:rsidR="00F3777B" w:rsidRDefault="00F3777B" w:rsidP="00586950">
      <w:pPr>
        <w:ind w:left="1080"/>
        <w:jc w:val="both"/>
        <w:rPr>
          <w:sz w:val="22"/>
          <w:szCs w:val="22"/>
        </w:rPr>
      </w:pP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643BD5" w:rsidRDefault="00643BD5" w:rsidP="00597F44">
      <w:pPr>
        <w:tabs>
          <w:tab w:val="left" w:pos="1080"/>
        </w:tabs>
        <w:ind w:left="1080" w:hanging="1080"/>
        <w:jc w:val="both"/>
        <w:rPr>
          <w:sz w:val="22"/>
          <w:szCs w:val="22"/>
        </w:rPr>
      </w:pPr>
      <w:r w:rsidRPr="006E611C">
        <w:rPr>
          <w:sz w:val="22"/>
          <w:szCs w:val="22"/>
        </w:rPr>
        <w:tab/>
      </w:r>
      <w:r w:rsidR="00D90CCE">
        <w:rPr>
          <w:sz w:val="22"/>
          <w:szCs w:val="22"/>
        </w:rPr>
        <w:t xml:space="preserve">The </w:t>
      </w:r>
      <w:r w:rsidRPr="006E611C">
        <w:rPr>
          <w:sz w:val="22"/>
          <w:szCs w:val="22"/>
        </w:rPr>
        <w:t xml:space="preserve">Group’s revenue has </w:t>
      </w:r>
      <w:r w:rsidR="00AF4067">
        <w:rPr>
          <w:sz w:val="22"/>
          <w:szCs w:val="22"/>
        </w:rPr>
        <w:t>de</w:t>
      </w:r>
      <w:r w:rsidRPr="006E611C">
        <w:rPr>
          <w:sz w:val="22"/>
          <w:szCs w:val="22"/>
        </w:rPr>
        <w:t xml:space="preserve">creased by </w:t>
      </w:r>
      <w:r w:rsidR="00310C65">
        <w:rPr>
          <w:sz w:val="22"/>
          <w:szCs w:val="22"/>
        </w:rPr>
        <w:t>11.0</w:t>
      </w:r>
      <w:r w:rsidRPr="006E611C">
        <w:rPr>
          <w:sz w:val="22"/>
          <w:szCs w:val="22"/>
        </w:rPr>
        <w:t>%, from RM</w:t>
      </w:r>
      <w:r w:rsidR="00310C65">
        <w:rPr>
          <w:sz w:val="22"/>
          <w:szCs w:val="22"/>
        </w:rPr>
        <w:t xml:space="preserve">289.1 </w:t>
      </w:r>
      <w:r w:rsidRPr="006E611C">
        <w:rPr>
          <w:sz w:val="22"/>
          <w:szCs w:val="22"/>
        </w:rPr>
        <w:t xml:space="preserve">million in </w:t>
      </w:r>
      <w:r w:rsidR="00884C44" w:rsidRPr="006E611C">
        <w:rPr>
          <w:sz w:val="22"/>
          <w:szCs w:val="22"/>
        </w:rPr>
        <w:t>the preceding quarter to RM</w:t>
      </w:r>
      <w:r w:rsidR="00310C65">
        <w:rPr>
          <w:sz w:val="22"/>
          <w:szCs w:val="22"/>
        </w:rPr>
        <w:t>257.5</w:t>
      </w:r>
      <w:r w:rsidR="00AF4067">
        <w:rPr>
          <w:sz w:val="22"/>
          <w:szCs w:val="22"/>
        </w:rPr>
        <w:t xml:space="preserve"> </w:t>
      </w:r>
      <w:r w:rsidRPr="006E611C">
        <w:rPr>
          <w:sz w:val="22"/>
          <w:szCs w:val="22"/>
        </w:rPr>
        <w:t>million this quarter.</w:t>
      </w:r>
      <w:r w:rsidR="00E26606" w:rsidRPr="006E611C">
        <w:rPr>
          <w:sz w:val="22"/>
          <w:szCs w:val="22"/>
        </w:rPr>
        <w:t xml:space="preserve"> </w:t>
      </w:r>
      <w:r w:rsidR="00D44995" w:rsidRPr="006E611C">
        <w:rPr>
          <w:sz w:val="22"/>
          <w:szCs w:val="22"/>
        </w:rPr>
        <w:t xml:space="preserve">The </w:t>
      </w:r>
      <w:r w:rsidR="00AF4067">
        <w:rPr>
          <w:sz w:val="22"/>
          <w:szCs w:val="22"/>
        </w:rPr>
        <w:t>de</w:t>
      </w:r>
      <w:r w:rsidR="00D44995" w:rsidRPr="006E611C">
        <w:rPr>
          <w:sz w:val="22"/>
          <w:szCs w:val="22"/>
        </w:rPr>
        <w:t xml:space="preserve">crease in revenue is primarily due to </w:t>
      </w:r>
      <w:r w:rsidR="00AF4067">
        <w:rPr>
          <w:sz w:val="22"/>
          <w:szCs w:val="22"/>
        </w:rPr>
        <w:t>the de</w:t>
      </w:r>
      <w:r w:rsidR="00461539">
        <w:rPr>
          <w:sz w:val="22"/>
          <w:szCs w:val="22"/>
        </w:rPr>
        <w:t>crease in sales volume</w:t>
      </w:r>
      <w:r w:rsidR="003D6DAF">
        <w:rPr>
          <w:sz w:val="22"/>
          <w:szCs w:val="22"/>
        </w:rPr>
        <w:t xml:space="preserve"> </w:t>
      </w:r>
      <w:r w:rsidR="003D6DAF" w:rsidRPr="006E611C">
        <w:rPr>
          <w:sz w:val="22"/>
          <w:szCs w:val="22"/>
        </w:rPr>
        <w:t>of our steel products</w:t>
      </w:r>
      <w:r w:rsidR="00AF4067">
        <w:rPr>
          <w:sz w:val="22"/>
          <w:szCs w:val="22"/>
        </w:rPr>
        <w:t xml:space="preserve"> </w:t>
      </w:r>
      <w:r w:rsidR="00310C65">
        <w:rPr>
          <w:sz w:val="22"/>
          <w:szCs w:val="22"/>
        </w:rPr>
        <w:t xml:space="preserve">and significant decreases in their </w:t>
      </w:r>
      <w:r w:rsidR="00AF4067">
        <w:rPr>
          <w:sz w:val="22"/>
          <w:szCs w:val="22"/>
        </w:rPr>
        <w:t>selling prices</w:t>
      </w:r>
      <w:r w:rsidR="00650C59" w:rsidRPr="006E611C">
        <w:rPr>
          <w:sz w:val="22"/>
          <w:szCs w:val="22"/>
        </w:rPr>
        <w:t>.</w:t>
      </w:r>
      <w:r w:rsidR="00292CAE" w:rsidRPr="006E611C">
        <w:rPr>
          <w:sz w:val="22"/>
          <w:szCs w:val="22"/>
        </w:rPr>
        <w:t xml:space="preserve"> </w:t>
      </w:r>
      <w:r w:rsidR="006845F7">
        <w:rPr>
          <w:sz w:val="22"/>
          <w:szCs w:val="22"/>
        </w:rPr>
        <w:t>As a result of the lower revenue</w:t>
      </w:r>
      <w:r w:rsidR="00F3777B">
        <w:rPr>
          <w:sz w:val="22"/>
          <w:szCs w:val="22"/>
        </w:rPr>
        <w:t xml:space="preserve"> and</w:t>
      </w:r>
      <w:r w:rsidR="00665989">
        <w:rPr>
          <w:sz w:val="22"/>
          <w:szCs w:val="22"/>
        </w:rPr>
        <w:t xml:space="preserve"> </w:t>
      </w:r>
      <w:r w:rsidR="00E9271E">
        <w:rPr>
          <w:sz w:val="22"/>
          <w:szCs w:val="22"/>
        </w:rPr>
        <w:t xml:space="preserve">the </w:t>
      </w:r>
      <w:r w:rsidR="009B5781">
        <w:rPr>
          <w:sz w:val="22"/>
          <w:szCs w:val="22"/>
        </w:rPr>
        <w:t>weak</w:t>
      </w:r>
      <w:r w:rsidR="00F3777B">
        <w:rPr>
          <w:sz w:val="22"/>
          <w:szCs w:val="22"/>
        </w:rPr>
        <w:t>ened</w:t>
      </w:r>
      <w:r w:rsidR="009B5781">
        <w:rPr>
          <w:sz w:val="22"/>
          <w:szCs w:val="22"/>
        </w:rPr>
        <w:t xml:space="preserve"> Ringgit</w:t>
      </w:r>
      <w:r w:rsidR="00F3777B">
        <w:rPr>
          <w:sz w:val="22"/>
          <w:szCs w:val="22"/>
        </w:rPr>
        <w:t xml:space="preserve"> as a result of </w:t>
      </w:r>
      <w:r w:rsidR="00997C13">
        <w:rPr>
          <w:sz w:val="22"/>
          <w:szCs w:val="22"/>
        </w:rPr>
        <w:t xml:space="preserve">the </w:t>
      </w:r>
      <w:r w:rsidR="00F3777B">
        <w:rPr>
          <w:sz w:val="22"/>
          <w:szCs w:val="22"/>
        </w:rPr>
        <w:t xml:space="preserve">downgrade </w:t>
      </w:r>
      <w:r w:rsidR="00997C13">
        <w:rPr>
          <w:sz w:val="22"/>
          <w:szCs w:val="22"/>
        </w:rPr>
        <w:t xml:space="preserve">watch </w:t>
      </w:r>
      <w:r w:rsidR="00F3777B">
        <w:rPr>
          <w:sz w:val="22"/>
          <w:szCs w:val="22"/>
        </w:rPr>
        <w:t>by Fitch Ratings on Malaysia</w:t>
      </w:r>
      <w:r w:rsidR="009B5781">
        <w:rPr>
          <w:sz w:val="22"/>
          <w:szCs w:val="22"/>
        </w:rPr>
        <w:t xml:space="preserve">, </w:t>
      </w:r>
      <w:r w:rsidR="00665989">
        <w:rPr>
          <w:sz w:val="22"/>
          <w:szCs w:val="22"/>
        </w:rPr>
        <w:t xml:space="preserve">the </w:t>
      </w:r>
      <w:r w:rsidR="00461539">
        <w:rPr>
          <w:sz w:val="22"/>
          <w:szCs w:val="22"/>
        </w:rPr>
        <w:t xml:space="preserve">Group’s profit before tax </w:t>
      </w:r>
      <w:r w:rsidR="006845F7">
        <w:rPr>
          <w:sz w:val="22"/>
          <w:szCs w:val="22"/>
        </w:rPr>
        <w:t>de</w:t>
      </w:r>
      <w:r w:rsidR="00461539">
        <w:rPr>
          <w:sz w:val="22"/>
          <w:szCs w:val="22"/>
        </w:rPr>
        <w:t>crease</w:t>
      </w:r>
      <w:r w:rsidR="00F3777B">
        <w:rPr>
          <w:sz w:val="22"/>
          <w:szCs w:val="22"/>
        </w:rPr>
        <w:t>d</w:t>
      </w:r>
      <w:r w:rsidR="00461539">
        <w:rPr>
          <w:sz w:val="22"/>
          <w:szCs w:val="22"/>
        </w:rPr>
        <w:t xml:space="preserve"> </w:t>
      </w:r>
      <w:r w:rsidR="003A38E1">
        <w:rPr>
          <w:sz w:val="22"/>
          <w:szCs w:val="22"/>
        </w:rPr>
        <w:t xml:space="preserve">significantly </w:t>
      </w:r>
      <w:r w:rsidR="00461539">
        <w:rPr>
          <w:sz w:val="22"/>
          <w:szCs w:val="22"/>
        </w:rPr>
        <w:t>by RM</w:t>
      </w:r>
      <w:r w:rsidR="009B5781">
        <w:rPr>
          <w:sz w:val="22"/>
          <w:szCs w:val="22"/>
        </w:rPr>
        <w:t>6.4</w:t>
      </w:r>
      <w:r w:rsidR="00461539">
        <w:rPr>
          <w:sz w:val="22"/>
          <w:szCs w:val="22"/>
        </w:rPr>
        <w:t xml:space="preserve"> million to register RM</w:t>
      </w:r>
      <w:r w:rsidR="009B5781">
        <w:rPr>
          <w:sz w:val="22"/>
          <w:szCs w:val="22"/>
        </w:rPr>
        <w:t>3.8</w:t>
      </w:r>
      <w:r w:rsidR="00461539">
        <w:rPr>
          <w:sz w:val="22"/>
          <w:szCs w:val="22"/>
        </w:rPr>
        <w:t xml:space="preserve"> million </w:t>
      </w:r>
      <w:r w:rsidR="00EC4EBC">
        <w:rPr>
          <w:sz w:val="22"/>
          <w:szCs w:val="22"/>
        </w:rPr>
        <w:t>this quarter.</w:t>
      </w:r>
      <w:r w:rsidR="00665989">
        <w:rPr>
          <w:sz w:val="22"/>
          <w:szCs w:val="22"/>
        </w:rPr>
        <w:t xml:space="preserve"> </w:t>
      </w:r>
    </w:p>
    <w:p w:rsidR="009F4B15" w:rsidRDefault="009F4B15" w:rsidP="00597F44">
      <w:pPr>
        <w:tabs>
          <w:tab w:val="left" w:pos="1080"/>
        </w:tabs>
        <w:ind w:left="1080" w:hanging="1080"/>
        <w:jc w:val="both"/>
        <w:rPr>
          <w:sz w:val="22"/>
          <w:szCs w:val="22"/>
        </w:rPr>
      </w:pP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643BD5" w:rsidRDefault="00624F77" w:rsidP="00FB1F32">
      <w:pPr>
        <w:tabs>
          <w:tab w:val="left" w:pos="1080"/>
        </w:tabs>
        <w:ind w:left="1080" w:hanging="720"/>
        <w:jc w:val="both"/>
        <w:rPr>
          <w:sz w:val="22"/>
          <w:szCs w:val="22"/>
        </w:rPr>
      </w:pPr>
      <w:r>
        <w:rPr>
          <w:sz w:val="22"/>
          <w:szCs w:val="22"/>
        </w:rPr>
        <w:tab/>
      </w:r>
    </w:p>
    <w:p w:rsidR="005E40FA" w:rsidRPr="00710B39" w:rsidRDefault="005E40FA" w:rsidP="005E40FA">
      <w:pPr>
        <w:tabs>
          <w:tab w:val="left" w:pos="1080"/>
        </w:tabs>
        <w:ind w:left="1080"/>
        <w:jc w:val="both"/>
        <w:rPr>
          <w:rFonts w:eastAsiaTheme="minorEastAsia"/>
          <w:sz w:val="22"/>
          <w:szCs w:val="22"/>
          <w:lang w:eastAsia="zh-TW"/>
        </w:rPr>
      </w:pPr>
      <w:r>
        <w:rPr>
          <w:rFonts w:eastAsiaTheme="minorEastAsia"/>
          <w:sz w:val="22"/>
          <w:szCs w:val="22"/>
          <w:lang w:eastAsia="zh-TW"/>
        </w:rPr>
        <w:t>I</w:t>
      </w:r>
      <w:r>
        <w:rPr>
          <w:rFonts w:eastAsiaTheme="minorEastAsia" w:hint="eastAsia"/>
          <w:sz w:val="22"/>
          <w:szCs w:val="22"/>
          <w:lang w:eastAsia="zh-TW"/>
        </w:rPr>
        <w:t>n October this year</w:t>
      </w:r>
      <w:r>
        <w:rPr>
          <w:rFonts w:eastAsiaTheme="minorEastAsia"/>
          <w:sz w:val="22"/>
          <w:szCs w:val="22"/>
          <w:lang w:eastAsia="zh-TW"/>
        </w:rPr>
        <w:t>, the</w:t>
      </w:r>
      <w:r>
        <w:rPr>
          <w:rFonts w:eastAsiaTheme="minorEastAsia" w:hint="eastAsia"/>
          <w:sz w:val="22"/>
          <w:szCs w:val="22"/>
          <w:lang w:eastAsia="zh-TW"/>
        </w:rPr>
        <w:t xml:space="preserve"> </w:t>
      </w:r>
      <w:r w:rsidRPr="00710B39">
        <w:rPr>
          <w:sz w:val="22"/>
          <w:szCs w:val="22"/>
        </w:rPr>
        <w:t>IMF adjust</w:t>
      </w:r>
      <w:r>
        <w:rPr>
          <w:rFonts w:eastAsiaTheme="minorEastAsia" w:hint="eastAsia"/>
          <w:sz w:val="22"/>
          <w:szCs w:val="22"/>
          <w:lang w:eastAsia="zh-TW"/>
        </w:rPr>
        <w:t>ed</w:t>
      </w:r>
      <w:r w:rsidRPr="00710B39">
        <w:rPr>
          <w:sz w:val="22"/>
          <w:szCs w:val="22"/>
        </w:rPr>
        <w:t xml:space="preserve"> the </w:t>
      </w:r>
      <w:r>
        <w:rPr>
          <w:sz w:val="22"/>
          <w:szCs w:val="22"/>
        </w:rPr>
        <w:t xml:space="preserve">global </w:t>
      </w:r>
      <w:r w:rsidRPr="00710B39">
        <w:rPr>
          <w:sz w:val="22"/>
          <w:szCs w:val="22"/>
        </w:rPr>
        <w:t>GDP growth from 3.2% to 2.9%</w:t>
      </w:r>
      <w:r w:rsidRPr="00710B39">
        <w:rPr>
          <w:rFonts w:eastAsiaTheme="minorEastAsia" w:hint="eastAsia"/>
          <w:sz w:val="22"/>
          <w:szCs w:val="22"/>
          <w:lang w:eastAsia="zh-TW"/>
        </w:rPr>
        <w:t xml:space="preserve"> </w:t>
      </w:r>
      <w:r>
        <w:rPr>
          <w:rFonts w:eastAsiaTheme="minorEastAsia"/>
          <w:sz w:val="22"/>
          <w:szCs w:val="22"/>
          <w:lang w:eastAsia="zh-TW"/>
        </w:rPr>
        <w:t>for</w:t>
      </w:r>
      <w:r w:rsidRPr="00710B39">
        <w:rPr>
          <w:rFonts w:eastAsiaTheme="minorEastAsia" w:hint="eastAsia"/>
          <w:sz w:val="22"/>
          <w:szCs w:val="22"/>
          <w:lang w:eastAsia="zh-TW"/>
        </w:rPr>
        <w:t xml:space="preserve"> 2013</w:t>
      </w:r>
      <w:r>
        <w:rPr>
          <w:rFonts w:eastAsiaTheme="minorEastAsia" w:hint="eastAsia"/>
          <w:sz w:val="22"/>
          <w:szCs w:val="22"/>
          <w:lang w:eastAsia="zh-TW"/>
        </w:rPr>
        <w:t>,</w:t>
      </w:r>
      <w:r w:rsidRPr="00710B39">
        <w:rPr>
          <w:rFonts w:eastAsiaTheme="minorEastAsia" w:hint="eastAsia"/>
          <w:sz w:val="22"/>
          <w:szCs w:val="22"/>
          <w:lang w:eastAsia="zh-TW"/>
        </w:rPr>
        <w:t xml:space="preserve"> </w:t>
      </w:r>
      <w:r>
        <w:rPr>
          <w:rFonts w:eastAsiaTheme="minorEastAsia"/>
          <w:sz w:val="22"/>
          <w:szCs w:val="22"/>
          <w:lang w:eastAsia="zh-TW"/>
        </w:rPr>
        <w:t xml:space="preserve">and </w:t>
      </w:r>
      <w:r>
        <w:rPr>
          <w:rFonts w:eastAsiaTheme="minorEastAsia" w:hint="eastAsia"/>
          <w:sz w:val="22"/>
          <w:szCs w:val="22"/>
          <w:lang w:eastAsia="zh-TW"/>
        </w:rPr>
        <w:t xml:space="preserve">in addition, the economic </w:t>
      </w:r>
      <w:r w:rsidRPr="00710B39">
        <w:rPr>
          <w:rFonts w:eastAsiaTheme="minorEastAsia" w:hint="eastAsia"/>
          <w:sz w:val="22"/>
          <w:szCs w:val="22"/>
          <w:lang w:eastAsia="zh-TW"/>
        </w:rPr>
        <w:t>gro</w:t>
      </w:r>
      <w:r>
        <w:rPr>
          <w:rFonts w:eastAsiaTheme="minorEastAsia" w:hint="eastAsia"/>
          <w:sz w:val="22"/>
          <w:szCs w:val="22"/>
          <w:lang w:eastAsia="zh-TW"/>
        </w:rPr>
        <w:t>w</w:t>
      </w:r>
      <w:r w:rsidRPr="00710B39">
        <w:rPr>
          <w:rFonts w:eastAsiaTheme="minorEastAsia" w:hint="eastAsia"/>
          <w:sz w:val="22"/>
          <w:szCs w:val="22"/>
          <w:lang w:eastAsia="zh-TW"/>
        </w:rPr>
        <w:t xml:space="preserve">th in </w:t>
      </w:r>
      <w:r w:rsidRPr="00710B39">
        <w:rPr>
          <w:color w:val="000000" w:themeColor="text1"/>
          <w:sz w:val="22"/>
          <w:szCs w:val="22"/>
        </w:rPr>
        <w:t>China</w:t>
      </w:r>
      <w:r w:rsidRPr="00710B39">
        <w:rPr>
          <w:rFonts w:eastAsiaTheme="minorEastAsia" w:hint="eastAsia"/>
          <w:color w:val="000000" w:themeColor="text1"/>
          <w:sz w:val="22"/>
          <w:szCs w:val="22"/>
          <w:lang w:eastAsia="zh-TW"/>
        </w:rPr>
        <w:t xml:space="preserve"> is slowing</w:t>
      </w:r>
      <w:r>
        <w:rPr>
          <w:rFonts w:eastAsiaTheme="minorEastAsia" w:hint="eastAsia"/>
          <w:color w:val="000000" w:themeColor="text1"/>
          <w:sz w:val="22"/>
          <w:szCs w:val="22"/>
          <w:lang w:eastAsia="zh-TW"/>
        </w:rPr>
        <w:t xml:space="preserve"> down while</w:t>
      </w:r>
      <w:r w:rsidRPr="00710B39">
        <w:rPr>
          <w:color w:val="000000" w:themeColor="text1"/>
          <w:sz w:val="22"/>
          <w:szCs w:val="22"/>
        </w:rPr>
        <w:t xml:space="preserve"> </w:t>
      </w:r>
      <w:r w:rsidRPr="00710B39">
        <w:rPr>
          <w:rFonts w:eastAsiaTheme="minorEastAsia" w:hint="eastAsia"/>
          <w:color w:val="000000" w:themeColor="text1"/>
          <w:sz w:val="22"/>
          <w:szCs w:val="22"/>
          <w:lang w:eastAsia="zh-TW"/>
        </w:rPr>
        <w:t>it</w:t>
      </w:r>
      <w:r w:rsidRPr="00710B39">
        <w:rPr>
          <w:rFonts w:eastAsiaTheme="minorEastAsia"/>
          <w:color w:val="000000" w:themeColor="text1"/>
          <w:sz w:val="22"/>
          <w:szCs w:val="22"/>
          <w:lang w:eastAsia="zh-TW"/>
        </w:rPr>
        <w:t>’</w:t>
      </w:r>
      <w:r w:rsidRPr="00710B39">
        <w:rPr>
          <w:rFonts w:eastAsiaTheme="minorEastAsia" w:hint="eastAsia"/>
          <w:color w:val="000000" w:themeColor="text1"/>
          <w:sz w:val="22"/>
          <w:szCs w:val="22"/>
          <w:lang w:eastAsia="zh-TW"/>
        </w:rPr>
        <w:t>s</w:t>
      </w:r>
      <w:r w:rsidRPr="00710B39">
        <w:rPr>
          <w:color w:val="000000" w:themeColor="text1"/>
          <w:sz w:val="22"/>
          <w:szCs w:val="22"/>
        </w:rPr>
        <w:t xml:space="preserve"> </w:t>
      </w:r>
      <w:smartTag w:uri="urn:schemas-microsoft-com:office:smarttags" w:element="stockticker">
        <w:r w:rsidRPr="00710B39">
          <w:rPr>
            <w:color w:val="000000" w:themeColor="text1"/>
            <w:sz w:val="22"/>
            <w:szCs w:val="22"/>
          </w:rPr>
          <w:t>GDP</w:t>
        </w:r>
      </w:smartTag>
      <w:r w:rsidRPr="00710B39">
        <w:rPr>
          <w:color w:val="000000" w:themeColor="text1"/>
          <w:sz w:val="22"/>
          <w:szCs w:val="22"/>
        </w:rPr>
        <w:t xml:space="preserve"> this year </w:t>
      </w:r>
      <w:r w:rsidRPr="00710B39">
        <w:rPr>
          <w:rFonts w:eastAsiaTheme="minorEastAsia" w:hint="eastAsia"/>
          <w:color w:val="000000" w:themeColor="text1"/>
          <w:sz w:val="22"/>
          <w:szCs w:val="22"/>
          <w:lang w:eastAsia="zh-TW"/>
        </w:rPr>
        <w:t>will</w:t>
      </w:r>
      <w:r w:rsidRPr="00710B39">
        <w:rPr>
          <w:color w:val="000000" w:themeColor="text1"/>
          <w:sz w:val="22"/>
          <w:szCs w:val="22"/>
        </w:rPr>
        <w:t xml:space="preserve"> </w:t>
      </w:r>
      <w:r w:rsidRPr="00710B39">
        <w:rPr>
          <w:rFonts w:eastAsiaTheme="minorEastAsia" w:hint="eastAsia"/>
          <w:color w:val="000000" w:themeColor="text1"/>
          <w:sz w:val="22"/>
          <w:szCs w:val="22"/>
          <w:lang w:eastAsia="zh-TW"/>
        </w:rPr>
        <w:t>be</w:t>
      </w:r>
      <w:r w:rsidRPr="00710B39">
        <w:rPr>
          <w:color w:val="000000" w:themeColor="text1"/>
          <w:sz w:val="22"/>
          <w:szCs w:val="22"/>
        </w:rPr>
        <w:t xml:space="preserve"> 7.</w:t>
      </w:r>
      <w:r w:rsidRPr="00710B39">
        <w:rPr>
          <w:rFonts w:eastAsiaTheme="minorEastAsia" w:hint="eastAsia"/>
          <w:color w:val="000000" w:themeColor="text1"/>
          <w:sz w:val="22"/>
          <w:szCs w:val="22"/>
          <w:lang w:eastAsia="zh-TW"/>
        </w:rPr>
        <w:t>6</w:t>
      </w:r>
      <w:r w:rsidRPr="00710B39">
        <w:rPr>
          <w:color w:val="000000" w:themeColor="text1"/>
          <w:sz w:val="22"/>
          <w:szCs w:val="22"/>
        </w:rPr>
        <w:t>%</w:t>
      </w:r>
      <w:r>
        <w:rPr>
          <w:color w:val="000000" w:themeColor="text1"/>
          <w:sz w:val="22"/>
          <w:szCs w:val="22"/>
        </w:rPr>
        <w:t>, a</w:t>
      </w:r>
      <w:r w:rsidRPr="00710B39">
        <w:rPr>
          <w:color w:val="000000" w:themeColor="text1"/>
          <w:sz w:val="22"/>
          <w:szCs w:val="22"/>
        </w:rPr>
        <w:t xml:space="preserve"> </w:t>
      </w:r>
      <w:r w:rsidRPr="00710B39">
        <w:rPr>
          <w:rFonts w:eastAsiaTheme="minorEastAsia" w:hint="eastAsia"/>
          <w:color w:val="000000" w:themeColor="text1"/>
          <w:sz w:val="22"/>
          <w:szCs w:val="22"/>
          <w:lang w:eastAsia="zh-TW"/>
        </w:rPr>
        <w:t xml:space="preserve">decline from </w:t>
      </w:r>
      <w:r>
        <w:rPr>
          <w:rFonts w:eastAsiaTheme="minorEastAsia"/>
          <w:color w:val="000000" w:themeColor="text1"/>
          <w:sz w:val="22"/>
          <w:szCs w:val="22"/>
          <w:lang w:eastAsia="zh-TW"/>
        </w:rPr>
        <w:t xml:space="preserve">the </w:t>
      </w:r>
      <w:r w:rsidRPr="00710B39">
        <w:rPr>
          <w:rFonts w:eastAsiaTheme="minorEastAsia" w:hint="eastAsia"/>
          <w:color w:val="000000" w:themeColor="text1"/>
          <w:sz w:val="22"/>
          <w:szCs w:val="22"/>
          <w:lang w:eastAsia="zh-TW"/>
        </w:rPr>
        <w:t>formerly estimated</w:t>
      </w:r>
      <w:r w:rsidRPr="00710B39">
        <w:rPr>
          <w:color w:val="000000" w:themeColor="text1"/>
          <w:sz w:val="22"/>
          <w:szCs w:val="22"/>
        </w:rPr>
        <w:t xml:space="preserve"> 7.</w:t>
      </w:r>
      <w:r w:rsidRPr="00710B39">
        <w:rPr>
          <w:rFonts w:eastAsiaTheme="minorEastAsia" w:hint="eastAsia"/>
          <w:color w:val="000000" w:themeColor="text1"/>
          <w:sz w:val="22"/>
          <w:szCs w:val="22"/>
          <w:lang w:eastAsia="zh-TW"/>
        </w:rPr>
        <w:t>8</w:t>
      </w:r>
      <w:r w:rsidRPr="00710B39">
        <w:rPr>
          <w:color w:val="000000" w:themeColor="text1"/>
          <w:sz w:val="22"/>
          <w:szCs w:val="22"/>
        </w:rPr>
        <w:t>%</w:t>
      </w:r>
      <w:r w:rsidRPr="00710B39">
        <w:rPr>
          <w:rFonts w:eastAsiaTheme="minorEastAsia" w:hint="eastAsia"/>
          <w:color w:val="000000" w:themeColor="text1"/>
          <w:sz w:val="22"/>
          <w:szCs w:val="22"/>
          <w:lang w:eastAsia="zh-TW"/>
        </w:rPr>
        <w:t xml:space="preserve">, which will affect </w:t>
      </w:r>
      <w:r>
        <w:rPr>
          <w:rFonts w:eastAsiaTheme="minorEastAsia" w:hint="eastAsia"/>
          <w:color w:val="000000" w:themeColor="text1"/>
          <w:sz w:val="22"/>
          <w:szCs w:val="22"/>
          <w:lang w:eastAsia="zh-TW"/>
        </w:rPr>
        <w:t xml:space="preserve">notably </w:t>
      </w:r>
      <w:r w:rsidRPr="00710B39">
        <w:rPr>
          <w:rFonts w:eastAsiaTheme="minorEastAsia" w:hint="eastAsia"/>
          <w:color w:val="000000" w:themeColor="text1"/>
          <w:sz w:val="22"/>
          <w:szCs w:val="22"/>
          <w:lang w:eastAsia="zh-TW"/>
        </w:rPr>
        <w:t>the commodity exporters among the emerging market</w:t>
      </w:r>
      <w:r>
        <w:rPr>
          <w:rFonts w:eastAsiaTheme="minorEastAsia" w:hint="eastAsia"/>
          <w:color w:val="000000" w:themeColor="text1"/>
          <w:sz w:val="22"/>
          <w:szCs w:val="22"/>
          <w:lang w:eastAsia="zh-TW"/>
        </w:rPr>
        <w:t>s</w:t>
      </w:r>
      <w:r w:rsidRPr="00710B39">
        <w:rPr>
          <w:rFonts w:eastAsiaTheme="minorEastAsia" w:hint="eastAsia"/>
          <w:color w:val="000000" w:themeColor="text1"/>
          <w:sz w:val="22"/>
          <w:szCs w:val="22"/>
          <w:lang w:eastAsia="zh-TW"/>
        </w:rPr>
        <w:t xml:space="preserve"> and developing economies.</w:t>
      </w:r>
    </w:p>
    <w:p w:rsidR="005E40FA" w:rsidRPr="00710B39" w:rsidRDefault="005E40FA" w:rsidP="005E40FA">
      <w:pPr>
        <w:spacing w:line="260" w:lineRule="atLeast"/>
        <w:ind w:left="1080"/>
        <w:jc w:val="both"/>
        <w:rPr>
          <w:color w:val="000000" w:themeColor="text1"/>
          <w:sz w:val="22"/>
          <w:szCs w:val="22"/>
        </w:rPr>
      </w:pPr>
    </w:p>
    <w:p w:rsidR="005E40FA" w:rsidRPr="00710B39" w:rsidRDefault="005E40FA" w:rsidP="005E40FA">
      <w:pPr>
        <w:spacing w:line="260" w:lineRule="atLeast"/>
        <w:ind w:left="1080"/>
        <w:jc w:val="both"/>
        <w:rPr>
          <w:color w:val="000000" w:themeColor="text1"/>
          <w:sz w:val="22"/>
          <w:szCs w:val="22"/>
        </w:rPr>
      </w:pPr>
      <w:r w:rsidRPr="00710B39">
        <w:rPr>
          <w:rFonts w:eastAsiaTheme="minorEastAsia" w:hint="eastAsia"/>
          <w:color w:val="000000" w:themeColor="text1"/>
          <w:sz w:val="22"/>
          <w:szCs w:val="22"/>
          <w:lang w:eastAsia="zh-TW"/>
        </w:rPr>
        <w:t>T</w:t>
      </w:r>
      <w:r w:rsidRPr="00710B39">
        <w:rPr>
          <w:color w:val="000000" w:themeColor="text1"/>
          <w:sz w:val="22"/>
          <w:szCs w:val="22"/>
        </w:rPr>
        <w:t>he economic growth</w:t>
      </w:r>
      <w:r w:rsidRPr="00710B39">
        <w:rPr>
          <w:rFonts w:eastAsiaTheme="minorEastAsia" w:hint="eastAsia"/>
          <w:color w:val="000000" w:themeColor="text1"/>
          <w:sz w:val="22"/>
          <w:szCs w:val="22"/>
          <w:lang w:eastAsia="zh-TW"/>
        </w:rPr>
        <w:t xml:space="preserve"> </w:t>
      </w:r>
      <w:r w:rsidRPr="00710B39">
        <w:rPr>
          <w:color w:val="000000" w:themeColor="text1"/>
          <w:sz w:val="22"/>
          <w:szCs w:val="22"/>
        </w:rPr>
        <w:t>of ASEAN</w:t>
      </w:r>
      <w:r w:rsidRPr="00710B39">
        <w:rPr>
          <w:rFonts w:eastAsiaTheme="minorEastAsia" w:hint="eastAsia"/>
          <w:color w:val="000000" w:themeColor="text1"/>
          <w:sz w:val="22"/>
          <w:szCs w:val="22"/>
          <w:lang w:eastAsia="zh-TW"/>
        </w:rPr>
        <w:t>-5</w:t>
      </w:r>
      <w:r>
        <w:rPr>
          <w:rFonts w:eastAsiaTheme="minorEastAsia" w:hint="eastAsia"/>
          <w:color w:val="000000" w:themeColor="text1"/>
          <w:sz w:val="22"/>
          <w:szCs w:val="22"/>
          <w:lang w:eastAsia="zh-TW"/>
        </w:rPr>
        <w:t xml:space="preserve">, </w:t>
      </w:r>
      <w:r>
        <w:rPr>
          <w:rFonts w:eastAsiaTheme="minorEastAsia"/>
          <w:color w:val="000000" w:themeColor="text1"/>
          <w:sz w:val="22"/>
          <w:szCs w:val="22"/>
          <w:lang w:eastAsia="zh-TW"/>
        </w:rPr>
        <w:t>namely,</w:t>
      </w:r>
      <w:r w:rsidRPr="00710B39">
        <w:rPr>
          <w:rFonts w:eastAsiaTheme="minorEastAsia" w:hint="eastAsia"/>
          <w:color w:val="000000" w:themeColor="text1"/>
          <w:sz w:val="22"/>
          <w:szCs w:val="22"/>
          <w:lang w:eastAsia="zh-TW"/>
        </w:rPr>
        <w:t xml:space="preserve"> Indonesia, Malaysia, Philippines, Thailand, and Vietnam</w:t>
      </w:r>
      <w:r>
        <w:rPr>
          <w:rFonts w:eastAsiaTheme="minorEastAsia" w:hint="eastAsia"/>
          <w:color w:val="000000" w:themeColor="text1"/>
          <w:sz w:val="22"/>
          <w:szCs w:val="22"/>
          <w:lang w:eastAsia="zh-TW"/>
        </w:rPr>
        <w:t>,</w:t>
      </w:r>
      <w:r w:rsidRPr="00710B39">
        <w:rPr>
          <w:color w:val="000000" w:themeColor="text1"/>
          <w:sz w:val="22"/>
          <w:szCs w:val="22"/>
        </w:rPr>
        <w:t xml:space="preserve"> </w:t>
      </w:r>
      <w:r w:rsidRPr="00710B39">
        <w:rPr>
          <w:rFonts w:eastAsiaTheme="minorEastAsia" w:hint="eastAsia"/>
          <w:color w:val="000000" w:themeColor="text1"/>
          <w:sz w:val="22"/>
          <w:szCs w:val="22"/>
          <w:lang w:eastAsia="zh-TW"/>
        </w:rPr>
        <w:t xml:space="preserve">in 2013 </w:t>
      </w:r>
      <w:proofErr w:type="gramStart"/>
      <w:r w:rsidRPr="00710B39">
        <w:rPr>
          <w:color w:val="000000" w:themeColor="text1"/>
          <w:sz w:val="22"/>
          <w:szCs w:val="22"/>
        </w:rPr>
        <w:t>is</w:t>
      </w:r>
      <w:proofErr w:type="gramEnd"/>
      <w:r w:rsidRPr="00710B39">
        <w:rPr>
          <w:color w:val="000000" w:themeColor="text1"/>
          <w:sz w:val="22"/>
          <w:szCs w:val="22"/>
        </w:rPr>
        <w:t xml:space="preserve"> expect</w:t>
      </w:r>
      <w:r>
        <w:rPr>
          <w:color w:val="000000" w:themeColor="text1"/>
          <w:sz w:val="22"/>
          <w:szCs w:val="22"/>
        </w:rPr>
        <w:t>ed</w:t>
      </w:r>
      <w:r w:rsidRPr="00710B39">
        <w:rPr>
          <w:color w:val="000000" w:themeColor="text1"/>
          <w:sz w:val="22"/>
          <w:szCs w:val="22"/>
        </w:rPr>
        <w:t xml:space="preserve"> to drop to 5.</w:t>
      </w:r>
      <w:r w:rsidRPr="00710B39">
        <w:rPr>
          <w:rFonts w:eastAsiaTheme="minorEastAsia" w:hint="eastAsia"/>
          <w:color w:val="000000" w:themeColor="text1"/>
          <w:sz w:val="22"/>
          <w:szCs w:val="22"/>
          <w:lang w:eastAsia="zh-TW"/>
        </w:rPr>
        <w:t>0</w:t>
      </w:r>
      <w:r w:rsidRPr="00710B39">
        <w:rPr>
          <w:color w:val="000000" w:themeColor="text1"/>
          <w:sz w:val="22"/>
          <w:szCs w:val="22"/>
        </w:rPr>
        <w:t>%</w:t>
      </w:r>
      <w:r w:rsidRPr="00710B39">
        <w:rPr>
          <w:rFonts w:eastAsiaTheme="minorEastAsia" w:hint="eastAsia"/>
          <w:color w:val="000000" w:themeColor="text1"/>
          <w:sz w:val="22"/>
          <w:szCs w:val="22"/>
          <w:lang w:eastAsia="zh-TW"/>
        </w:rPr>
        <w:t xml:space="preserve"> from 5.6%</w:t>
      </w:r>
      <w:r w:rsidRPr="00710B39">
        <w:rPr>
          <w:color w:val="000000" w:themeColor="text1"/>
          <w:sz w:val="22"/>
          <w:szCs w:val="22"/>
        </w:rPr>
        <w:t>.</w:t>
      </w:r>
      <w:r w:rsidRPr="00710B39">
        <w:rPr>
          <w:rFonts w:eastAsiaTheme="minorEastAsia" w:hint="eastAsia"/>
          <w:color w:val="000000" w:themeColor="text1"/>
          <w:sz w:val="22"/>
          <w:szCs w:val="22"/>
          <w:lang w:eastAsia="zh-TW"/>
        </w:rPr>
        <w:t xml:space="preserve"> </w:t>
      </w:r>
      <w:r w:rsidRPr="00710B39">
        <w:rPr>
          <w:color w:val="000000" w:themeColor="text1"/>
          <w:sz w:val="22"/>
          <w:szCs w:val="22"/>
        </w:rPr>
        <w:t>In Malaysia,</w:t>
      </w:r>
      <w:r w:rsidRPr="00710B39">
        <w:rPr>
          <w:rFonts w:eastAsia="Times New Roman"/>
          <w:color w:val="000000" w:themeColor="text1"/>
          <w:sz w:val="22"/>
          <w:szCs w:val="22"/>
        </w:rPr>
        <w:t xml:space="preserve"> Bank Negara revise</w:t>
      </w:r>
      <w:r>
        <w:rPr>
          <w:rFonts w:eastAsiaTheme="minorEastAsia" w:hint="eastAsia"/>
          <w:color w:val="000000" w:themeColor="text1"/>
          <w:sz w:val="22"/>
          <w:szCs w:val="22"/>
          <w:lang w:eastAsia="zh-TW"/>
        </w:rPr>
        <w:t>d</w:t>
      </w:r>
      <w:r w:rsidRPr="00710B39">
        <w:rPr>
          <w:rFonts w:eastAsia="Times New Roman"/>
          <w:color w:val="000000" w:themeColor="text1"/>
          <w:sz w:val="22"/>
          <w:szCs w:val="22"/>
        </w:rPr>
        <w:t xml:space="preserve"> the GDP growth</w:t>
      </w:r>
      <w:r>
        <w:rPr>
          <w:rFonts w:eastAsiaTheme="minorEastAsia" w:hint="eastAsia"/>
          <w:color w:val="000000" w:themeColor="text1"/>
          <w:sz w:val="22"/>
          <w:szCs w:val="22"/>
          <w:lang w:eastAsia="zh-TW"/>
        </w:rPr>
        <w:t xml:space="preserve"> downwards</w:t>
      </w:r>
      <w:r w:rsidRPr="00710B39">
        <w:rPr>
          <w:rFonts w:eastAsia="Times New Roman"/>
          <w:color w:val="000000" w:themeColor="text1"/>
          <w:sz w:val="22"/>
          <w:szCs w:val="22"/>
        </w:rPr>
        <w:t xml:space="preserve"> for this year</w:t>
      </w:r>
      <w:r>
        <w:rPr>
          <w:rFonts w:eastAsiaTheme="minorEastAsia" w:hint="eastAsia"/>
          <w:color w:val="000000" w:themeColor="text1"/>
          <w:sz w:val="22"/>
          <w:szCs w:val="22"/>
          <w:lang w:eastAsia="zh-TW"/>
        </w:rPr>
        <w:t xml:space="preserve"> </w:t>
      </w:r>
      <w:r w:rsidRPr="00710B39">
        <w:rPr>
          <w:rFonts w:eastAsia="Times New Roman"/>
          <w:color w:val="000000" w:themeColor="text1"/>
          <w:sz w:val="22"/>
          <w:szCs w:val="22"/>
        </w:rPr>
        <w:t xml:space="preserve">from </w:t>
      </w:r>
      <w:r>
        <w:rPr>
          <w:rFonts w:eastAsiaTheme="minorEastAsia" w:hint="eastAsia"/>
          <w:color w:val="000000" w:themeColor="text1"/>
          <w:sz w:val="22"/>
          <w:szCs w:val="22"/>
          <w:lang w:eastAsia="zh-TW"/>
        </w:rPr>
        <w:t xml:space="preserve">the range of </w:t>
      </w:r>
      <w:r w:rsidRPr="00710B39">
        <w:rPr>
          <w:rFonts w:eastAsia="Times New Roman"/>
          <w:color w:val="000000" w:themeColor="text1"/>
          <w:sz w:val="22"/>
          <w:szCs w:val="22"/>
        </w:rPr>
        <w:t>5</w:t>
      </w:r>
      <w:r w:rsidR="001B7482">
        <w:rPr>
          <w:rFonts w:eastAsia="Times New Roman"/>
          <w:color w:val="000000" w:themeColor="text1"/>
          <w:sz w:val="22"/>
          <w:szCs w:val="22"/>
        </w:rPr>
        <w:t xml:space="preserve">% </w:t>
      </w:r>
      <w:r>
        <w:rPr>
          <w:rFonts w:eastAsiaTheme="minorEastAsia" w:hint="eastAsia"/>
          <w:color w:val="000000" w:themeColor="text1"/>
          <w:sz w:val="22"/>
          <w:szCs w:val="22"/>
          <w:lang w:eastAsia="zh-TW"/>
        </w:rPr>
        <w:t>-</w:t>
      </w:r>
      <w:r w:rsidR="001B7482">
        <w:rPr>
          <w:rFonts w:eastAsiaTheme="minorEastAsia"/>
          <w:color w:val="000000" w:themeColor="text1"/>
          <w:sz w:val="22"/>
          <w:szCs w:val="22"/>
          <w:lang w:eastAsia="zh-TW"/>
        </w:rPr>
        <w:t xml:space="preserve"> </w:t>
      </w:r>
      <w:r w:rsidRPr="00710B39">
        <w:rPr>
          <w:rFonts w:eastAsia="Times New Roman"/>
          <w:color w:val="000000" w:themeColor="text1"/>
          <w:sz w:val="22"/>
          <w:szCs w:val="22"/>
        </w:rPr>
        <w:t>6%</w:t>
      </w:r>
      <w:r>
        <w:rPr>
          <w:rFonts w:eastAsiaTheme="minorEastAsia" w:hint="eastAsia"/>
          <w:color w:val="000000" w:themeColor="text1"/>
          <w:sz w:val="22"/>
          <w:szCs w:val="22"/>
          <w:lang w:eastAsia="zh-TW"/>
        </w:rPr>
        <w:t xml:space="preserve"> to</w:t>
      </w:r>
      <w:r w:rsidRPr="00710B39">
        <w:rPr>
          <w:rFonts w:eastAsia="Times New Roman"/>
          <w:color w:val="000000" w:themeColor="text1"/>
          <w:sz w:val="22"/>
          <w:szCs w:val="22"/>
        </w:rPr>
        <w:t xml:space="preserve"> 4.5</w:t>
      </w:r>
      <w:r w:rsidR="001B7482">
        <w:rPr>
          <w:rFonts w:eastAsia="Times New Roman"/>
          <w:color w:val="000000" w:themeColor="text1"/>
          <w:sz w:val="22"/>
          <w:szCs w:val="22"/>
        </w:rPr>
        <w:t xml:space="preserve">% </w:t>
      </w:r>
      <w:r>
        <w:rPr>
          <w:rFonts w:eastAsiaTheme="minorEastAsia" w:hint="eastAsia"/>
          <w:color w:val="000000" w:themeColor="text1"/>
          <w:sz w:val="22"/>
          <w:szCs w:val="22"/>
          <w:lang w:eastAsia="zh-TW"/>
        </w:rPr>
        <w:t>-</w:t>
      </w:r>
      <w:r w:rsidR="001B7482">
        <w:rPr>
          <w:rFonts w:eastAsiaTheme="minorEastAsia"/>
          <w:color w:val="000000" w:themeColor="text1"/>
          <w:sz w:val="22"/>
          <w:szCs w:val="22"/>
          <w:lang w:eastAsia="zh-TW"/>
        </w:rPr>
        <w:t xml:space="preserve"> </w:t>
      </w:r>
      <w:r w:rsidR="001B7482">
        <w:rPr>
          <w:rFonts w:eastAsia="Times New Roman"/>
          <w:color w:val="000000" w:themeColor="text1"/>
          <w:sz w:val="22"/>
          <w:szCs w:val="22"/>
        </w:rPr>
        <w:t>5%</w:t>
      </w:r>
      <w:r w:rsidRPr="00710B39">
        <w:rPr>
          <w:rFonts w:eastAsia="Times New Roman"/>
          <w:color w:val="000000" w:themeColor="text1"/>
          <w:sz w:val="22"/>
          <w:szCs w:val="22"/>
        </w:rPr>
        <w:t xml:space="preserve"> on the uncertain outlook.</w:t>
      </w:r>
      <w:r w:rsidRPr="00710B39">
        <w:rPr>
          <w:color w:val="000000" w:themeColor="text1"/>
          <w:sz w:val="22"/>
          <w:szCs w:val="22"/>
        </w:rPr>
        <w:t xml:space="preserve"> </w:t>
      </w:r>
    </w:p>
    <w:p w:rsidR="005E40FA" w:rsidRPr="00710B39" w:rsidRDefault="005E40FA" w:rsidP="005E40FA">
      <w:pPr>
        <w:spacing w:line="260" w:lineRule="atLeast"/>
        <w:ind w:left="1080"/>
        <w:jc w:val="both"/>
        <w:rPr>
          <w:color w:val="000000" w:themeColor="text1"/>
          <w:sz w:val="22"/>
          <w:szCs w:val="22"/>
        </w:rPr>
      </w:pPr>
    </w:p>
    <w:p w:rsidR="005E40FA" w:rsidRPr="00710B39" w:rsidRDefault="005E40FA" w:rsidP="005E40FA">
      <w:pPr>
        <w:spacing w:after="200"/>
        <w:ind w:leftChars="414" w:left="994"/>
        <w:rPr>
          <w:rFonts w:eastAsia="PMingLiU"/>
          <w:sz w:val="22"/>
          <w:szCs w:val="22"/>
          <w:lang w:eastAsia="zh-TW"/>
        </w:rPr>
      </w:pPr>
      <w:r w:rsidRPr="00710B39">
        <w:rPr>
          <w:rFonts w:eastAsiaTheme="minorEastAsia" w:hint="eastAsia"/>
          <w:color w:val="000000" w:themeColor="text1"/>
          <w:sz w:val="22"/>
          <w:szCs w:val="22"/>
          <w:lang w:eastAsia="zh-TW"/>
        </w:rPr>
        <w:t xml:space="preserve"> </w:t>
      </w:r>
      <w:r>
        <w:rPr>
          <w:rFonts w:eastAsiaTheme="minorEastAsia" w:hint="eastAsia"/>
          <w:color w:val="000000" w:themeColor="text1"/>
          <w:sz w:val="22"/>
          <w:szCs w:val="22"/>
          <w:lang w:eastAsia="zh-TW"/>
        </w:rPr>
        <w:t>T</w:t>
      </w:r>
      <w:r w:rsidRPr="00710B39">
        <w:rPr>
          <w:bCs/>
          <w:color w:val="000000"/>
          <w:sz w:val="22"/>
          <w:szCs w:val="22"/>
          <w:lang w:eastAsia="zh-CN"/>
        </w:rPr>
        <w:t>he Wor</w:t>
      </w:r>
      <w:r w:rsidRPr="00710B39">
        <w:rPr>
          <w:bCs/>
          <w:sz w:val="22"/>
          <w:szCs w:val="22"/>
        </w:rPr>
        <w:t>ld Steel Association (</w:t>
      </w:r>
      <w:r w:rsidRPr="00710B39">
        <w:rPr>
          <w:rFonts w:eastAsiaTheme="minorEastAsia" w:hint="eastAsia"/>
          <w:bCs/>
          <w:sz w:val="22"/>
          <w:szCs w:val="22"/>
          <w:lang w:eastAsia="zh-TW"/>
        </w:rPr>
        <w:t>WSA</w:t>
      </w:r>
      <w:r w:rsidRPr="00710B39">
        <w:rPr>
          <w:bCs/>
          <w:sz w:val="22"/>
          <w:szCs w:val="22"/>
        </w:rPr>
        <w:t xml:space="preserve">) </w:t>
      </w:r>
      <w:r>
        <w:rPr>
          <w:rFonts w:eastAsiaTheme="minorEastAsia" w:hint="eastAsia"/>
          <w:bCs/>
          <w:sz w:val="22"/>
          <w:szCs w:val="22"/>
          <w:lang w:eastAsia="zh-TW"/>
        </w:rPr>
        <w:t>in this October</w:t>
      </w:r>
      <w:r>
        <w:rPr>
          <w:rFonts w:eastAsiaTheme="minorEastAsia" w:hint="eastAsia"/>
          <w:bCs/>
          <w:color w:val="000000"/>
          <w:sz w:val="22"/>
          <w:szCs w:val="22"/>
          <w:lang w:eastAsia="zh-TW"/>
        </w:rPr>
        <w:t xml:space="preserve"> </w:t>
      </w:r>
      <w:r>
        <w:rPr>
          <w:bCs/>
          <w:color w:val="000000"/>
          <w:sz w:val="22"/>
          <w:szCs w:val="22"/>
          <w:lang w:eastAsia="zh-CN"/>
        </w:rPr>
        <w:t>forecast</w:t>
      </w:r>
      <w:r w:rsidRPr="00710B39">
        <w:rPr>
          <w:bCs/>
          <w:color w:val="000000"/>
          <w:sz w:val="22"/>
          <w:szCs w:val="22"/>
          <w:lang w:eastAsia="zh-CN"/>
        </w:rPr>
        <w:t xml:space="preserve"> that global apparent steel use </w:t>
      </w:r>
      <w:r w:rsidRPr="00710B39">
        <w:rPr>
          <w:bCs/>
          <w:sz w:val="22"/>
          <w:szCs w:val="22"/>
        </w:rPr>
        <w:t xml:space="preserve">will increase by 3.1% </w:t>
      </w:r>
      <w:r w:rsidRPr="00710B39">
        <w:rPr>
          <w:bCs/>
          <w:color w:val="000000"/>
          <w:sz w:val="22"/>
          <w:szCs w:val="22"/>
          <w:lang w:eastAsia="zh-CN"/>
        </w:rPr>
        <w:t>in 2013</w:t>
      </w:r>
      <w:r w:rsidRPr="00710B39">
        <w:rPr>
          <w:rFonts w:eastAsiaTheme="minorEastAsia" w:hint="eastAsia"/>
          <w:bCs/>
          <w:color w:val="000000"/>
          <w:sz w:val="22"/>
          <w:szCs w:val="22"/>
          <w:lang w:eastAsia="zh-TW"/>
        </w:rPr>
        <w:t xml:space="preserve">, and </w:t>
      </w:r>
      <w:r w:rsidRPr="00710B39">
        <w:rPr>
          <w:bCs/>
          <w:color w:val="000000"/>
          <w:sz w:val="22"/>
          <w:szCs w:val="22"/>
          <w:lang w:eastAsia="zh-CN"/>
        </w:rPr>
        <w:t xml:space="preserve">3.3% </w:t>
      </w:r>
      <w:r w:rsidRPr="00710B39">
        <w:rPr>
          <w:rFonts w:eastAsiaTheme="minorEastAsia" w:hint="eastAsia"/>
          <w:bCs/>
          <w:sz w:val="22"/>
          <w:szCs w:val="22"/>
          <w:lang w:eastAsia="zh-TW"/>
        </w:rPr>
        <w:t xml:space="preserve">in 2014.  </w:t>
      </w:r>
      <w:r w:rsidRPr="00710B39">
        <w:rPr>
          <w:rFonts w:eastAsiaTheme="minorEastAsia"/>
          <w:bCs/>
          <w:sz w:val="22"/>
          <w:szCs w:val="22"/>
          <w:lang w:eastAsia="zh-TW"/>
        </w:rPr>
        <w:t xml:space="preserve">But </w:t>
      </w:r>
      <w:r w:rsidRPr="00710B39">
        <w:rPr>
          <w:rFonts w:eastAsiaTheme="minorEastAsia"/>
          <w:sz w:val="22"/>
          <w:szCs w:val="22"/>
          <w:lang w:eastAsia="zh-TW"/>
        </w:rPr>
        <w:t>m</w:t>
      </w:r>
      <w:r w:rsidRPr="00710B39">
        <w:rPr>
          <w:sz w:val="22"/>
          <w:szCs w:val="22"/>
        </w:rPr>
        <w:t>ajor emerging economies</w:t>
      </w:r>
      <w:r w:rsidRPr="00710B39">
        <w:rPr>
          <w:rFonts w:eastAsiaTheme="minorEastAsia" w:hint="eastAsia"/>
          <w:sz w:val="22"/>
          <w:szCs w:val="22"/>
          <w:lang w:eastAsia="zh-TW"/>
        </w:rPr>
        <w:t xml:space="preserve"> </w:t>
      </w:r>
      <w:r w:rsidRPr="00710B39">
        <w:rPr>
          <w:sz w:val="22"/>
          <w:szCs w:val="22"/>
        </w:rPr>
        <w:t xml:space="preserve">have not performed as </w:t>
      </w:r>
      <w:r>
        <w:rPr>
          <w:rFonts w:eastAsiaTheme="minorEastAsia" w:hint="eastAsia"/>
          <w:sz w:val="22"/>
          <w:szCs w:val="22"/>
          <w:lang w:eastAsia="zh-TW"/>
        </w:rPr>
        <w:t>expected</w:t>
      </w:r>
      <w:r w:rsidRPr="00710B39">
        <w:rPr>
          <w:sz w:val="22"/>
          <w:szCs w:val="22"/>
        </w:rPr>
        <w:t>. These factors have led to a lower steel demand performance than predicted across the world</w:t>
      </w:r>
      <w:r w:rsidRPr="00710B39">
        <w:rPr>
          <w:rFonts w:eastAsiaTheme="minorEastAsia" w:hint="eastAsia"/>
          <w:sz w:val="22"/>
          <w:szCs w:val="22"/>
          <w:lang w:eastAsia="zh-TW"/>
        </w:rPr>
        <w:t xml:space="preserve">. </w:t>
      </w:r>
      <w:r w:rsidRPr="00710B39">
        <w:rPr>
          <w:rFonts w:eastAsia="PMingLiU" w:hint="eastAsia"/>
          <w:sz w:val="22"/>
          <w:szCs w:val="22"/>
          <w:lang w:eastAsia="zh-TW"/>
        </w:rPr>
        <w:t>And t</w:t>
      </w:r>
      <w:r w:rsidRPr="00710B39">
        <w:rPr>
          <w:rFonts w:eastAsia="PMingLiU"/>
          <w:sz w:val="22"/>
          <w:szCs w:val="22"/>
          <w:lang w:eastAsia="zh-TW"/>
        </w:rPr>
        <w:t>he world crude steel production</w:t>
      </w:r>
      <w:r w:rsidRPr="00E82A73">
        <w:rPr>
          <w:rFonts w:eastAsia="PMingLiU"/>
          <w:sz w:val="22"/>
          <w:szCs w:val="22"/>
          <w:lang w:eastAsia="zh-TW"/>
        </w:rPr>
        <w:t xml:space="preserve"> </w:t>
      </w:r>
      <w:r w:rsidRPr="00710B39">
        <w:rPr>
          <w:rFonts w:eastAsia="PMingLiU"/>
          <w:sz w:val="22"/>
          <w:szCs w:val="22"/>
          <w:lang w:eastAsia="zh-TW"/>
        </w:rPr>
        <w:t xml:space="preserve">in September for the 65 countries reporting to the </w:t>
      </w:r>
      <w:r w:rsidRPr="00710B39">
        <w:rPr>
          <w:rFonts w:eastAsia="PMingLiU" w:hint="eastAsia"/>
          <w:sz w:val="22"/>
          <w:szCs w:val="22"/>
          <w:lang w:eastAsia="zh-TW"/>
        </w:rPr>
        <w:t>WSA</w:t>
      </w:r>
      <w:r w:rsidRPr="00710B39">
        <w:rPr>
          <w:rFonts w:eastAsia="PMingLiU"/>
          <w:sz w:val="22"/>
          <w:szCs w:val="22"/>
          <w:lang w:eastAsia="zh-TW"/>
        </w:rPr>
        <w:t xml:space="preserve"> was 133 million tons </w:t>
      </w:r>
      <w:r>
        <w:rPr>
          <w:rFonts w:eastAsia="PMingLiU" w:hint="eastAsia"/>
          <w:sz w:val="22"/>
          <w:szCs w:val="22"/>
          <w:lang w:eastAsia="zh-TW"/>
        </w:rPr>
        <w:t>showing</w:t>
      </w:r>
      <w:r w:rsidRPr="00710B39">
        <w:rPr>
          <w:rFonts w:eastAsia="PMingLiU"/>
          <w:sz w:val="22"/>
          <w:szCs w:val="22"/>
          <w:lang w:eastAsia="zh-TW"/>
        </w:rPr>
        <w:t xml:space="preserve"> an increase of 6.1</w:t>
      </w:r>
      <w:r w:rsidRPr="00710B39">
        <w:rPr>
          <w:rFonts w:eastAsia="PMingLiU" w:hint="eastAsia"/>
          <w:sz w:val="22"/>
          <w:szCs w:val="22"/>
          <w:lang w:eastAsia="zh-TW"/>
        </w:rPr>
        <w:t>%</w:t>
      </w:r>
      <w:r w:rsidRPr="00710B39">
        <w:rPr>
          <w:rFonts w:eastAsia="PMingLiU"/>
          <w:sz w:val="22"/>
          <w:szCs w:val="22"/>
          <w:lang w:eastAsia="zh-TW"/>
        </w:rPr>
        <w:t xml:space="preserve"> year-on-year.</w:t>
      </w:r>
    </w:p>
    <w:p w:rsidR="005E40FA" w:rsidRPr="003916BD" w:rsidRDefault="005E40FA" w:rsidP="005E40FA">
      <w:pPr>
        <w:spacing w:after="200"/>
        <w:ind w:leftChars="414" w:left="994"/>
        <w:rPr>
          <w:rFonts w:eastAsiaTheme="minorEastAsia"/>
          <w:sz w:val="22"/>
          <w:szCs w:val="22"/>
          <w:lang w:eastAsia="zh-TW"/>
        </w:rPr>
      </w:pPr>
      <w:r w:rsidRPr="00710B39">
        <w:rPr>
          <w:rFonts w:eastAsiaTheme="minorEastAsia" w:hint="eastAsia"/>
          <w:sz w:val="22"/>
          <w:szCs w:val="22"/>
          <w:lang w:eastAsia="zh-TW"/>
        </w:rPr>
        <w:t>The s</w:t>
      </w:r>
      <w:r w:rsidRPr="00710B39">
        <w:rPr>
          <w:sz w:val="22"/>
          <w:szCs w:val="22"/>
        </w:rPr>
        <w:t>teel demand in China 2013 is</w:t>
      </w:r>
      <w:r w:rsidRPr="00710B39">
        <w:rPr>
          <w:rFonts w:eastAsiaTheme="minorEastAsia" w:hint="eastAsia"/>
          <w:sz w:val="22"/>
          <w:szCs w:val="22"/>
          <w:lang w:eastAsia="zh-TW"/>
        </w:rPr>
        <w:t xml:space="preserve"> </w:t>
      </w:r>
      <w:r w:rsidRPr="00710B39">
        <w:rPr>
          <w:sz w:val="22"/>
          <w:szCs w:val="22"/>
        </w:rPr>
        <w:t>forecasted to grow by 6.0%</w:t>
      </w:r>
      <w:r w:rsidRPr="00710B39">
        <w:rPr>
          <w:rFonts w:eastAsiaTheme="minorEastAsia" w:hint="eastAsia"/>
          <w:sz w:val="22"/>
          <w:szCs w:val="22"/>
          <w:lang w:eastAsia="zh-TW"/>
        </w:rPr>
        <w:t xml:space="preserve">, </w:t>
      </w:r>
      <w:r w:rsidRPr="00710B39">
        <w:rPr>
          <w:rFonts w:eastAsiaTheme="minorEastAsia"/>
          <w:sz w:val="22"/>
          <w:szCs w:val="22"/>
          <w:lang w:eastAsia="zh-TW"/>
        </w:rPr>
        <w:t xml:space="preserve">but </w:t>
      </w:r>
      <w:r>
        <w:rPr>
          <w:rFonts w:eastAsiaTheme="minorEastAsia" w:hint="eastAsia"/>
          <w:sz w:val="22"/>
          <w:szCs w:val="22"/>
          <w:lang w:eastAsia="zh-TW"/>
        </w:rPr>
        <w:t>the oversupply is still a serious topic.</w:t>
      </w:r>
      <w:r w:rsidRPr="00710B39">
        <w:rPr>
          <w:rFonts w:eastAsiaTheme="minorEastAsia" w:hint="eastAsia"/>
          <w:sz w:val="22"/>
          <w:szCs w:val="22"/>
          <w:lang w:eastAsia="zh-TW"/>
        </w:rPr>
        <w:t xml:space="preserve"> </w:t>
      </w:r>
      <w:r>
        <w:rPr>
          <w:rFonts w:eastAsiaTheme="minorEastAsia" w:hint="eastAsia"/>
          <w:sz w:val="22"/>
          <w:szCs w:val="22"/>
          <w:lang w:eastAsia="zh-TW"/>
        </w:rPr>
        <w:t>A</w:t>
      </w:r>
      <w:r w:rsidRPr="00710B39">
        <w:rPr>
          <w:rFonts w:eastAsiaTheme="minorEastAsia" w:hint="eastAsia"/>
          <w:sz w:val="22"/>
          <w:szCs w:val="22"/>
          <w:lang w:eastAsia="zh-TW"/>
        </w:rPr>
        <w:t xml:space="preserve">s reported </w:t>
      </w:r>
      <w:r w:rsidRPr="00710B39">
        <w:rPr>
          <w:sz w:val="22"/>
          <w:szCs w:val="22"/>
        </w:rPr>
        <w:t>for September</w:t>
      </w:r>
      <w:r>
        <w:rPr>
          <w:rFonts w:eastAsiaTheme="minorEastAsia" w:hint="eastAsia"/>
          <w:sz w:val="22"/>
          <w:szCs w:val="22"/>
          <w:lang w:eastAsia="zh-TW"/>
        </w:rPr>
        <w:t>, the supply</w:t>
      </w:r>
      <w:r w:rsidRPr="00710B39">
        <w:rPr>
          <w:sz w:val="22"/>
          <w:szCs w:val="22"/>
        </w:rPr>
        <w:t xml:space="preserve"> </w:t>
      </w:r>
      <w:r w:rsidRPr="00710B39">
        <w:rPr>
          <w:rFonts w:eastAsiaTheme="minorEastAsia" w:hint="eastAsia"/>
          <w:sz w:val="22"/>
          <w:szCs w:val="22"/>
          <w:lang w:eastAsia="zh-TW"/>
        </w:rPr>
        <w:t xml:space="preserve">reached </w:t>
      </w:r>
      <w:r w:rsidRPr="00710B39">
        <w:rPr>
          <w:sz w:val="22"/>
          <w:szCs w:val="22"/>
        </w:rPr>
        <w:t>65.4 million tons, up by 11</w:t>
      </w:r>
      <w:r w:rsidRPr="00710B39">
        <w:rPr>
          <w:rFonts w:eastAsiaTheme="minorEastAsia" w:hint="eastAsia"/>
          <w:sz w:val="22"/>
          <w:szCs w:val="22"/>
          <w:lang w:eastAsia="zh-TW"/>
        </w:rPr>
        <w:t>%</w:t>
      </w:r>
      <w:r w:rsidRPr="00710B39">
        <w:rPr>
          <w:sz w:val="22"/>
          <w:szCs w:val="22"/>
        </w:rPr>
        <w:t xml:space="preserve"> year-on-year.</w:t>
      </w:r>
      <w:r>
        <w:rPr>
          <w:rFonts w:eastAsiaTheme="minorEastAsia" w:hint="eastAsia"/>
          <w:sz w:val="22"/>
          <w:szCs w:val="22"/>
          <w:lang w:eastAsia="zh-TW"/>
        </w:rPr>
        <w:t xml:space="preserve"> The supply-demand situation is difficult to improve in case China</w:t>
      </w:r>
      <w:r>
        <w:rPr>
          <w:rFonts w:eastAsiaTheme="minorEastAsia"/>
          <w:sz w:val="22"/>
          <w:szCs w:val="22"/>
          <w:lang w:eastAsia="zh-TW"/>
        </w:rPr>
        <w:t>’</w:t>
      </w:r>
      <w:r>
        <w:rPr>
          <w:rFonts w:eastAsiaTheme="minorEastAsia" w:hint="eastAsia"/>
          <w:sz w:val="22"/>
          <w:szCs w:val="22"/>
          <w:lang w:eastAsia="zh-TW"/>
        </w:rPr>
        <w:t>s output of crude steel remains high.</w:t>
      </w:r>
    </w:p>
    <w:p w:rsidR="00997C13" w:rsidRDefault="005E40FA" w:rsidP="005E40FA">
      <w:pPr>
        <w:spacing w:after="200"/>
        <w:ind w:leftChars="414" w:left="994"/>
        <w:rPr>
          <w:rFonts w:eastAsia="Times New Roman"/>
          <w:color w:val="000000" w:themeColor="text1"/>
          <w:sz w:val="22"/>
          <w:szCs w:val="22"/>
        </w:rPr>
      </w:pPr>
      <w:r>
        <w:rPr>
          <w:rFonts w:eastAsiaTheme="minorEastAsia" w:hint="eastAsia"/>
          <w:sz w:val="22"/>
          <w:szCs w:val="22"/>
          <w:lang w:eastAsia="zh-TW"/>
        </w:rPr>
        <w:t xml:space="preserve">As </w:t>
      </w:r>
      <w:r w:rsidR="001B7482">
        <w:rPr>
          <w:rFonts w:eastAsiaTheme="minorEastAsia" w:hint="eastAsia"/>
          <w:sz w:val="22"/>
          <w:szCs w:val="22"/>
          <w:lang w:eastAsia="zh-TW"/>
        </w:rPr>
        <w:t>influenced by the global econo</w:t>
      </w:r>
      <w:r w:rsidR="001B7482">
        <w:rPr>
          <w:rFonts w:eastAsiaTheme="minorEastAsia"/>
          <w:sz w:val="22"/>
          <w:szCs w:val="22"/>
          <w:lang w:eastAsia="zh-TW"/>
        </w:rPr>
        <w:t>mic</w:t>
      </w:r>
      <w:r>
        <w:rPr>
          <w:rFonts w:eastAsiaTheme="minorEastAsia" w:hint="eastAsia"/>
          <w:sz w:val="22"/>
          <w:szCs w:val="22"/>
          <w:lang w:eastAsia="zh-TW"/>
        </w:rPr>
        <w:t xml:space="preserve"> slowdown and the excess steel supply, the steel price was depressed in ASEAN region. </w:t>
      </w:r>
      <w:r w:rsidRPr="00710B39">
        <w:rPr>
          <w:color w:val="000000" w:themeColor="text1"/>
          <w:sz w:val="22"/>
          <w:szCs w:val="22"/>
        </w:rPr>
        <w:t>The domestic sales of the</w:t>
      </w:r>
      <w:r>
        <w:rPr>
          <w:rFonts w:eastAsiaTheme="minorEastAsia" w:hint="eastAsia"/>
          <w:color w:val="000000" w:themeColor="text1"/>
          <w:sz w:val="22"/>
          <w:szCs w:val="22"/>
          <w:lang w:eastAsia="zh-TW"/>
        </w:rPr>
        <w:t xml:space="preserve"> Group in terms of </w:t>
      </w:r>
      <w:r w:rsidRPr="00710B39">
        <w:rPr>
          <w:rFonts w:eastAsia="Times New Roman"/>
          <w:color w:val="000000" w:themeColor="text1"/>
          <w:sz w:val="22"/>
          <w:szCs w:val="22"/>
        </w:rPr>
        <w:t xml:space="preserve">volume and price in </w:t>
      </w:r>
      <w:r w:rsidR="001B7482">
        <w:rPr>
          <w:rFonts w:eastAsia="Times New Roman"/>
          <w:color w:val="000000" w:themeColor="text1"/>
          <w:sz w:val="22"/>
          <w:szCs w:val="22"/>
        </w:rPr>
        <w:t xml:space="preserve">the </w:t>
      </w:r>
      <w:r w:rsidRPr="00710B39">
        <w:rPr>
          <w:rFonts w:eastAsia="Times New Roman"/>
          <w:color w:val="000000" w:themeColor="text1"/>
          <w:sz w:val="22"/>
          <w:szCs w:val="22"/>
        </w:rPr>
        <w:t>3</w:t>
      </w:r>
      <w:r w:rsidRPr="00710B39">
        <w:rPr>
          <w:rFonts w:eastAsia="Times New Roman"/>
          <w:color w:val="000000" w:themeColor="text1"/>
          <w:sz w:val="22"/>
          <w:szCs w:val="22"/>
          <w:vertAlign w:val="superscript"/>
        </w:rPr>
        <w:t>rd</w:t>
      </w:r>
      <w:r w:rsidRPr="00710B39">
        <w:rPr>
          <w:rFonts w:eastAsia="Times New Roman"/>
          <w:color w:val="000000" w:themeColor="text1"/>
          <w:sz w:val="22"/>
          <w:szCs w:val="22"/>
        </w:rPr>
        <w:t xml:space="preserve"> quarter are lower than </w:t>
      </w:r>
      <w:r>
        <w:rPr>
          <w:rFonts w:eastAsiaTheme="minorEastAsia" w:hint="eastAsia"/>
          <w:color w:val="000000" w:themeColor="text1"/>
          <w:sz w:val="22"/>
          <w:szCs w:val="22"/>
          <w:lang w:eastAsia="zh-TW"/>
        </w:rPr>
        <w:t xml:space="preserve">that in </w:t>
      </w:r>
      <w:r w:rsidR="001B7482">
        <w:rPr>
          <w:rFonts w:eastAsiaTheme="minorEastAsia"/>
          <w:color w:val="000000" w:themeColor="text1"/>
          <w:sz w:val="22"/>
          <w:szCs w:val="22"/>
          <w:lang w:eastAsia="zh-TW"/>
        </w:rPr>
        <w:t xml:space="preserve">the </w:t>
      </w:r>
      <w:r w:rsidRPr="00710B39">
        <w:rPr>
          <w:rFonts w:eastAsia="Times New Roman"/>
          <w:color w:val="000000" w:themeColor="text1"/>
          <w:sz w:val="22"/>
          <w:szCs w:val="22"/>
        </w:rPr>
        <w:t>2</w:t>
      </w:r>
      <w:r w:rsidRPr="00710B39">
        <w:rPr>
          <w:rFonts w:eastAsia="Times New Roman"/>
          <w:color w:val="000000" w:themeColor="text1"/>
          <w:sz w:val="22"/>
          <w:szCs w:val="22"/>
          <w:vertAlign w:val="superscript"/>
        </w:rPr>
        <w:t>nd</w:t>
      </w:r>
      <w:r w:rsidRPr="00710B39">
        <w:rPr>
          <w:rFonts w:eastAsia="Times New Roman"/>
          <w:color w:val="000000" w:themeColor="text1"/>
          <w:sz w:val="22"/>
          <w:szCs w:val="22"/>
        </w:rPr>
        <w:t xml:space="preserve"> quarter. </w:t>
      </w:r>
      <w:r>
        <w:rPr>
          <w:rFonts w:eastAsiaTheme="minorEastAsia" w:hint="eastAsia"/>
          <w:color w:val="000000" w:themeColor="text1"/>
          <w:sz w:val="22"/>
          <w:szCs w:val="22"/>
          <w:lang w:eastAsia="zh-TW"/>
        </w:rPr>
        <w:t>Regarding the</w:t>
      </w:r>
      <w:r w:rsidRPr="00710B39">
        <w:rPr>
          <w:rFonts w:eastAsiaTheme="minorEastAsia" w:hint="eastAsia"/>
          <w:color w:val="000000" w:themeColor="text1"/>
          <w:sz w:val="22"/>
          <w:szCs w:val="22"/>
          <w:lang w:eastAsia="zh-TW"/>
        </w:rPr>
        <w:t xml:space="preserve"> </w:t>
      </w:r>
      <w:r>
        <w:rPr>
          <w:rFonts w:eastAsiaTheme="minorEastAsia" w:hint="eastAsia"/>
          <w:color w:val="000000" w:themeColor="text1"/>
          <w:sz w:val="22"/>
          <w:szCs w:val="22"/>
          <w:lang w:eastAsia="zh-TW"/>
        </w:rPr>
        <w:t>overseas</w:t>
      </w:r>
      <w:r w:rsidRPr="00710B39">
        <w:rPr>
          <w:rFonts w:eastAsia="Times New Roman"/>
          <w:color w:val="000000" w:themeColor="text1"/>
          <w:sz w:val="22"/>
          <w:szCs w:val="22"/>
        </w:rPr>
        <w:t xml:space="preserve"> market</w:t>
      </w:r>
      <w:r>
        <w:rPr>
          <w:rFonts w:eastAsiaTheme="minorEastAsia" w:hint="eastAsia"/>
          <w:color w:val="000000" w:themeColor="text1"/>
          <w:sz w:val="22"/>
          <w:szCs w:val="22"/>
          <w:lang w:eastAsia="zh-TW"/>
        </w:rPr>
        <w:t>, especially in Indonesia,</w:t>
      </w:r>
      <w:r w:rsidRPr="00710B39">
        <w:rPr>
          <w:rFonts w:eastAsiaTheme="minorEastAsia" w:hint="eastAsia"/>
          <w:color w:val="000000" w:themeColor="text1"/>
          <w:sz w:val="22"/>
          <w:szCs w:val="22"/>
          <w:lang w:eastAsia="zh-TW"/>
        </w:rPr>
        <w:t xml:space="preserve"> is liable to be fluctuated by </w:t>
      </w:r>
      <w:r w:rsidRPr="00710B39">
        <w:rPr>
          <w:rFonts w:eastAsia="Times New Roman"/>
          <w:color w:val="000000" w:themeColor="text1"/>
          <w:sz w:val="22"/>
          <w:szCs w:val="22"/>
        </w:rPr>
        <w:t xml:space="preserve">the </w:t>
      </w:r>
      <w:r w:rsidRPr="00710B39">
        <w:rPr>
          <w:rFonts w:eastAsiaTheme="minorEastAsia" w:hint="eastAsia"/>
          <w:color w:val="000000" w:themeColor="text1"/>
          <w:sz w:val="22"/>
          <w:szCs w:val="22"/>
          <w:lang w:eastAsia="zh-TW"/>
        </w:rPr>
        <w:t xml:space="preserve">international currency wave such as </w:t>
      </w:r>
      <w:r w:rsidRPr="00710B39">
        <w:rPr>
          <w:rFonts w:eastAsia="Times New Roman"/>
          <w:color w:val="000000" w:themeColor="text1"/>
          <w:sz w:val="22"/>
          <w:szCs w:val="22"/>
        </w:rPr>
        <w:t>weak</w:t>
      </w:r>
      <w:r w:rsidRPr="00710B39">
        <w:rPr>
          <w:rFonts w:eastAsiaTheme="minorEastAsia" w:hint="eastAsia"/>
          <w:color w:val="000000" w:themeColor="text1"/>
          <w:sz w:val="22"/>
          <w:szCs w:val="22"/>
          <w:lang w:eastAsia="zh-TW"/>
        </w:rPr>
        <w:t xml:space="preserve"> </w:t>
      </w:r>
      <w:r w:rsidRPr="00710B39">
        <w:rPr>
          <w:rFonts w:eastAsia="Times New Roman"/>
          <w:color w:val="000000" w:themeColor="text1"/>
          <w:sz w:val="22"/>
          <w:szCs w:val="22"/>
        </w:rPr>
        <w:t xml:space="preserve">Indonesia rupiah </w:t>
      </w:r>
      <w:r>
        <w:rPr>
          <w:rFonts w:eastAsiaTheme="minorEastAsia" w:hint="eastAsia"/>
          <w:color w:val="000000" w:themeColor="text1"/>
          <w:sz w:val="22"/>
          <w:szCs w:val="22"/>
          <w:lang w:eastAsia="zh-TW"/>
        </w:rPr>
        <w:t>which reduced the</w:t>
      </w:r>
      <w:r w:rsidRPr="00710B39">
        <w:rPr>
          <w:rFonts w:eastAsia="Times New Roman"/>
          <w:color w:val="000000" w:themeColor="text1"/>
          <w:sz w:val="22"/>
          <w:szCs w:val="22"/>
        </w:rPr>
        <w:t xml:space="preserve"> </w:t>
      </w:r>
      <w:r>
        <w:rPr>
          <w:rFonts w:eastAsiaTheme="minorEastAsia" w:hint="eastAsia"/>
          <w:color w:val="000000" w:themeColor="text1"/>
          <w:sz w:val="22"/>
          <w:szCs w:val="22"/>
          <w:lang w:eastAsia="zh-TW"/>
        </w:rPr>
        <w:t xml:space="preserve">steel </w:t>
      </w:r>
      <w:r w:rsidRPr="00710B39">
        <w:rPr>
          <w:rFonts w:eastAsiaTheme="minorEastAsia" w:hint="eastAsia"/>
          <w:color w:val="000000" w:themeColor="text1"/>
          <w:sz w:val="22"/>
          <w:szCs w:val="22"/>
          <w:lang w:eastAsia="zh-TW"/>
        </w:rPr>
        <w:t xml:space="preserve">import </w:t>
      </w:r>
      <w:r>
        <w:rPr>
          <w:rFonts w:eastAsiaTheme="minorEastAsia" w:hint="eastAsia"/>
          <w:color w:val="000000" w:themeColor="text1"/>
          <w:sz w:val="22"/>
          <w:szCs w:val="22"/>
          <w:lang w:eastAsia="zh-TW"/>
        </w:rPr>
        <w:t>from the Group</w:t>
      </w:r>
      <w:r w:rsidRPr="00710B39">
        <w:rPr>
          <w:rFonts w:eastAsia="Times New Roman"/>
          <w:color w:val="000000" w:themeColor="text1"/>
          <w:sz w:val="22"/>
          <w:szCs w:val="22"/>
        </w:rPr>
        <w:t>.</w:t>
      </w:r>
    </w:p>
    <w:p w:rsidR="005E40FA" w:rsidRDefault="005E40FA" w:rsidP="005E40FA">
      <w:pPr>
        <w:spacing w:after="200"/>
        <w:ind w:leftChars="414" w:left="994"/>
        <w:rPr>
          <w:rFonts w:eastAsiaTheme="minorEastAsia"/>
          <w:sz w:val="22"/>
          <w:szCs w:val="22"/>
          <w:lang w:eastAsia="zh-TW"/>
        </w:rPr>
      </w:pPr>
      <w:r>
        <w:rPr>
          <w:rFonts w:eastAsiaTheme="minorEastAsia" w:hint="eastAsia"/>
          <w:sz w:val="22"/>
          <w:szCs w:val="22"/>
          <w:lang w:eastAsia="zh-TW"/>
        </w:rPr>
        <w:t>The prospect in fourth quarter will be similar to the previous one if there is no significant change in steel market in near future. The Group is still face</w:t>
      </w:r>
      <w:r w:rsidR="006C50C1">
        <w:rPr>
          <w:rFonts w:eastAsiaTheme="minorEastAsia"/>
          <w:sz w:val="22"/>
          <w:szCs w:val="22"/>
          <w:lang w:eastAsia="zh-TW"/>
        </w:rPr>
        <w:t>d</w:t>
      </w:r>
      <w:bookmarkStart w:id="2" w:name="_GoBack"/>
      <w:bookmarkEnd w:id="2"/>
      <w:r>
        <w:rPr>
          <w:rFonts w:eastAsiaTheme="minorEastAsia" w:hint="eastAsia"/>
          <w:sz w:val="22"/>
          <w:szCs w:val="22"/>
          <w:lang w:eastAsia="zh-TW"/>
        </w:rPr>
        <w:t xml:space="preserve"> </w:t>
      </w:r>
      <w:r w:rsidR="00997C13">
        <w:rPr>
          <w:rFonts w:eastAsiaTheme="minorEastAsia"/>
          <w:sz w:val="22"/>
          <w:szCs w:val="22"/>
          <w:lang w:eastAsia="zh-TW"/>
        </w:rPr>
        <w:t xml:space="preserve">with </w:t>
      </w:r>
      <w:r>
        <w:rPr>
          <w:rFonts w:eastAsiaTheme="minorEastAsia" w:hint="eastAsia"/>
          <w:sz w:val="22"/>
          <w:szCs w:val="22"/>
          <w:lang w:eastAsia="zh-TW"/>
        </w:rPr>
        <w:t>the thin margin in this competitive</w:t>
      </w:r>
      <w:r w:rsidR="005D5186">
        <w:rPr>
          <w:rFonts w:eastAsiaTheme="minorEastAsia"/>
          <w:sz w:val="22"/>
          <w:szCs w:val="22"/>
          <w:lang w:eastAsia="zh-TW"/>
        </w:rPr>
        <w:t xml:space="preserve"> </w:t>
      </w:r>
      <w:proofErr w:type="gramStart"/>
      <w:r>
        <w:rPr>
          <w:rFonts w:eastAsiaTheme="minorEastAsia" w:hint="eastAsia"/>
          <w:sz w:val="22"/>
          <w:szCs w:val="22"/>
          <w:lang w:eastAsia="zh-TW"/>
        </w:rPr>
        <w:t>market</w:t>
      </w:r>
      <w:r w:rsidR="005D5186">
        <w:rPr>
          <w:rFonts w:eastAsiaTheme="minorEastAsia"/>
          <w:sz w:val="22"/>
          <w:szCs w:val="22"/>
          <w:lang w:eastAsia="zh-TW"/>
        </w:rPr>
        <w:t>,</w:t>
      </w:r>
      <w:proofErr w:type="gramEnd"/>
      <w:r>
        <w:rPr>
          <w:rFonts w:eastAsiaTheme="minorEastAsia" w:hint="eastAsia"/>
          <w:sz w:val="22"/>
          <w:szCs w:val="22"/>
          <w:lang w:eastAsia="zh-TW"/>
        </w:rPr>
        <w:t xml:space="preserve"> however, the Group </w:t>
      </w:r>
      <w:r w:rsidR="005D5186">
        <w:rPr>
          <w:rFonts w:eastAsiaTheme="minorEastAsia"/>
          <w:sz w:val="22"/>
          <w:szCs w:val="22"/>
          <w:lang w:eastAsia="zh-TW"/>
        </w:rPr>
        <w:t>has taken steps aim</w:t>
      </w:r>
      <w:r w:rsidR="006C50C1">
        <w:rPr>
          <w:rFonts w:eastAsiaTheme="minorEastAsia"/>
          <w:sz w:val="22"/>
          <w:szCs w:val="22"/>
          <w:lang w:eastAsia="zh-TW"/>
        </w:rPr>
        <w:t>ed</w:t>
      </w:r>
      <w:r w:rsidR="005D5186">
        <w:rPr>
          <w:rFonts w:eastAsiaTheme="minorEastAsia"/>
          <w:sz w:val="22"/>
          <w:szCs w:val="22"/>
          <w:lang w:eastAsia="zh-TW"/>
        </w:rPr>
        <w:t xml:space="preserve"> at </w:t>
      </w:r>
      <w:r>
        <w:rPr>
          <w:rFonts w:eastAsiaTheme="minorEastAsia" w:hint="eastAsia"/>
          <w:sz w:val="22"/>
          <w:szCs w:val="22"/>
          <w:lang w:eastAsia="zh-TW"/>
        </w:rPr>
        <w:t>reduc</w:t>
      </w:r>
      <w:r w:rsidR="005D5186">
        <w:rPr>
          <w:rFonts w:eastAsiaTheme="minorEastAsia"/>
          <w:sz w:val="22"/>
          <w:szCs w:val="22"/>
          <w:lang w:eastAsia="zh-TW"/>
        </w:rPr>
        <w:t>ing</w:t>
      </w:r>
      <w:r>
        <w:rPr>
          <w:rFonts w:eastAsiaTheme="minorEastAsia" w:hint="eastAsia"/>
          <w:sz w:val="22"/>
          <w:szCs w:val="22"/>
          <w:lang w:eastAsia="zh-TW"/>
        </w:rPr>
        <w:t xml:space="preserve"> the production cost and increas</w:t>
      </w:r>
      <w:r w:rsidR="005D5186">
        <w:rPr>
          <w:rFonts w:eastAsiaTheme="minorEastAsia"/>
          <w:sz w:val="22"/>
          <w:szCs w:val="22"/>
          <w:lang w:eastAsia="zh-TW"/>
        </w:rPr>
        <w:t>ing</w:t>
      </w:r>
      <w:r>
        <w:rPr>
          <w:rFonts w:eastAsiaTheme="minorEastAsia" w:hint="eastAsia"/>
          <w:sz w:val="22"/>
          <w:szCs w:val="22"/>
          <w:lang w:eastAsia="zh-TW"/>
        </w:rPr>
        <w:t xml:space="preserve"> the sale volume and profit.</w:t>
      </w:r>
    </w:p>
    <w:p w:rsidR="006F2734" w:rsidRDefault="005E40FA" w:rsidP="001B7482">
      <w:pPr>
        <w:spacing w:after="200"/>
        <w:ind w:leftChars="414" w:left="994"/>
        <w:rPr>
          <w:rFonts w:eastAsiaTheme="minorEastAsia"/>
          <w:sz w:val="22"/>
          <w:szCs w:val="22"/>
          <w:lang w:eastAsia="zh-TW"/>
        </w:rPr>
      </w:pPr>
      <w:r>
        <w:rPr>
          <w:rFonts w:eastAsiaTheme="minorEastAsia" w:hint="eastAsia"/>
          <w:sz w:val="22"/>
          <w:szCs w:val="22"/>
          <w:lang w:eastAsia="zh-TW"/>
        </w:rPr>
        <w:t xml:space="preserve">Besides the uncertain </w:t>
      </w:r>
      <w:r>
        <w:rPr>
          <w:rFonts w:eastAsiaTheme="minorEastAsia"/>
          <w:sz w:val="22"/>
          <w:szCs w:val="22"/>
          <w:lang w:eastAsia="zh-TW"/>
        </w:rPr>
        <w:t>circumstances</w:t>
      </w:r>
      <w:r>
        <w:rPr>
          <w:rFonts w:eastAsiaTheme="minorEastAsia" w:hint="eastAsia"/>
          <w:sz w:val="22"/>
          <w:szCs w:val="22"/>
          <w:lang w:eastAsia="zh-TW"/>
        </w:rPr>
        <w:t>, the Group is cautiously optimistic to achieve a positive result in 2013.</w:t>
      </w:r>
    </w:p>
    <w:p w:rsidR="00997C13" w:rsidRDefault="00997C13" w:rsidP="001B7482">
      <w:pPr>
        <w:spacing w:after="200"/>
        <w:ind w:leftChars="414" w:left="994"/>
        <w:rPr>
          <w:color w:val="000000"/>
          <w:sz w:val="22"/>
          <w:szCs w:val="22"/>
          <w:lang w:eastAsia="zh-CN"/>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F2734" w:rsidRDefault="006F2734" w:rsidP="00C20B9C">
      <w:pPr>
        <w:tabs>
          <w:tab w:val="left" w:pos="1080"/>
          <w:tab w:val="left" w:pos="3960"/>
        </w:tabs>
        <w:ind w:left="1080" w:hanging="1080"/>
        <w:jc w:val="both"/>
        <w:rPr>
          <w:sz w:val="22"/>
          <w:szCs w:val="22"/>
        </w:rPr>
      </w:pPr>
    </w:p>
    <w:p w:rsidR="006F2734" w:rsidRPr="006E611C" w:rsidRDefault="006F2734" w:rsidP="00C20B9C">
      <w:pPr>
        <w:tabs>
          <w:tab w:val="left" w:pos="1080"/>
          <w:tab w:val="left" w:pos="3960"/>
        </w:tabs>
        <w:ind w:left="1080" w:hanging="1080"/>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firstRow="0" w:lastRow="0" w:firstColumn="0" w:lastColumn="0" w:noHBand="0" w:noVBand="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4E03D6">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Current</w:t>
            </w:r>
          </w:p>
          <w:p w:rsidR="00CC5E44" w:rsidRPr="006E611C" w:rsidRDefault="00CC5E44" w:rsidP="004E03D6">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4E03D6">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1981" w:type="dxa"/>
            <w:tcBorders>
              <w:top w:val="nil"/>
              <w:left w:val="nil"/>
              <w:bottom w:val="nil"/>
              <w:right w:val="nil"/>
            </w:tcBorders>
            <w:vAlign w:val="bottom"/>
          </w:tcPr>
          <w:p w:rsidR="00CC5E44" w:rsidRPr="006E611C" w:rsidRDefault="00CC5E44" w:rsidP="004E03D6">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4E03D6">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DF2D08">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DF2D08">
              <w:rPr>
                <w:sz w:val="22"/>
                <w:szCs w:val="22"/>
              </w:rPr>
              <w:t>1</w:t>
            </w:r>
            <w:r w:rsidR="00A06778">
              <w:rPr>
                <w:sz w:val="22"/>
                <w:szCs w:val="22"/>
              </w:rPr>
              <w:t>,</w:t>
            </w:r>
            <w:r w:rsidR="00DF2D08">
              <w:rPr>
                <w:sz w:val="22"/>
                <w:szCs w:val="22"/>
              </w:rPr>
              <w:t>678</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DF2D08">
            <w:pPr>
              <w:jc w:val="both"/>
              <w:rPr>
                <w:sz w:val="22"/>
                <w:szCs w:val="22"/>
              </w:rPr>
            </w:pPr>
            <w:r w:rsidRPr="006E611C">
              <w:rPr>
                <w:sz w:val="22"/>
                <w:szCs w:val="22"/>
              </w:rPr>
              <w:t xml:space="preserve">             </w:t>
            </w:r>
            <w:r w:rsidR="00665989">
              <w:rPr>
                <w:sz w:val="22"/>
                <w:szCs w:val="22"/>
              </w:rPr>
              <w:t>1</w:t>
            </w:r>
            <w:r w:rsidR="00DF2D08">
              <w:rPr>
                <w:sz w:val="22"/>
                <w:szCs w:val="22"/>
              </w:rPr>
              <w:t>2</w:t>
            </w:r>
            <w:r w:rsidR="00205F35">
              <w:rPr>
                <w:sz w:val="22"/>
                <w:szCs w:val="22"/>
              </w:rPr>
              <w:t>,</w:t>
            </w:r>
            <w:r w:rsidR="00DF2D08">
              <w:rPr>
                <w:sz w:val="22"/>
                <w:szCs w:val="22"/>
              </w:rPr>
              <w:t>496</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4E03D6">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DF2D08">
            <w:pPr>
              <w:jc w:val="both"/>
              <w:rPr>
                <w:sz w:val="22"/>
                <w:szCs w:val="22"/>
              </w:rPr>
            </w:pPr>
            <w:r w:rsidRPr="006E611C">
              <w:rPr>
                <w:sz w:val="22"/>
                <w:szCs w:val="22"/>
              </w:rPr>
              <w:t xml:space="preserve">             </w:t>
            </w:r>
            <w:r w:rsidR="00B27576">
              <w:rPr>
                <w:sz w:val="22"/>
                <w:szCs w:val="22"/>
              </w:rPr>
              <w:t xml:space="preserve"> </w:t>
            </w:r>
            <w:r w:rsidR="00DF2D08">
              <w:rPr>
                <w:sz w:val="22"/>
                <w:szCs w:val="22"/>
              </w:rPr>
              <w:t xml:space="preserve">   (763</w:t>
            </w:r>
            <w:r w:rsidR="00665989">
              <w:rPr>
                <w:sz w:val="22"/>
                <w:szCs w:val="22"/>
              </w:rPr>
              <w:t>)</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4E03D6">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DF2D08">
            <w:pPr>
              <w:jc w:val="both"/>
              <w:rPr>
                <w:sz w:val="22"/>
                <w:szCs w:val="22"/>
              </w:rPr>
            </w:pPr>
            <w:r w:rsidRPr="006E611C">
              <w:rPr>
                <w:sz w:val="22"/>
                <w:szCs w:val="22"/>
              </w:rPr>
              <w:t xml:space="preserve">             </w:t>
            </w:r>
            <w:r w:rsidR="00C04EDA" w:rsidRPr="006E611C">
              <w:rPr>
                <w:sz w:val="22"/>
                <w:szCs w:val="22"/>
              </w:rPr>
              <w:t xml:space="preserve"> </w:t>
            </w:r>
            <w:r w:rsidR="00665989">
              <w:rPr>
                <w:sz w:val="22"/>
                <w:szCs w:val="22"/>
              </w:rPr>
              <w:t>(</w:t>
            </w:r>
            <w:r w:rsidR="00DF2D08">
              <w:rPr>
                <w:sz w:val="22"/>
                <w:szCs w:val="22"/>
              </w:rPr>
              <w:t>3</w:t>
            </w:r>
            <w:r w:rsidR="00665989">
              <w:rPr>
                <w:sz w:val="22"/>
                <w:szCs w:val="22"/>
              </w:rPr>
              <w:t>,</w:t>
            </w:r>
            <w:r w:rsidR="00DF2D08">
              <w:rPr>
                <w:sz w:val="22"/>
                <w:szCs w:val="22"/>
              </w:rPr>
              <w:t>341</w:t>
            </w:r>
            <w:r w:rsidR="00665989">
              <w:rPr>
                <w:sz w:val="22"/>
                <w:szCs w:val="22"/>
              </w:rPr>
              <w:t>)</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4E03D6">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4E03D6">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3B27E3" w:rsidP="00DF2D08">
            <w:pPr>
              <w:jc w:val="both"/>
              <w:rPr>
                <w:sz w:val="22"/>
                <w:szCs w:val="22"/>
              </w:rPr>
            </w:pPr>
            <w:r w:rsidRPr="006E611C">
              <w:rPr>
                <w:sz w:val="22"/>
                <w:szCs w:val="22"/>
              </w:rPr>
              <w:t xml:space="preserve">               </w:t>
            </w:r>
            <w:r w:rsidR="00DF2D08">
              <w:rPr>
                <w:sz w:val="22"/>
                <w:szCs w:val="22"/>
              </w:rPr>
              <w:t xml:space="preserve">   915</w:t>
            </w:r>
          </w:p>
        </w:tc>
        <w:tc>
          <w:tcPr>
            <w:tcW w:w="462" w:type="dxa"/>
            <w:gridSpan w:val="2"/>
            <w:tcBorders>
              <w:top w:val="single" w:sz="4" w:space="0" w:color="auto"/>
              <w:left w:val="nil"/>
              <w:bottom w:val="nil"/>
              <w:right w:val="nil"/>
            </w:tcBorders>
            <w:vAlign w:val="bottom"/>
          </w:tcPr>
          <w:p w:rsidR="00CC5E44" w:rsidRPr="006E611C" w:rsidRDefault="00CC5E44" w:rsidP="004E03D6">
            <w:pPr>
              <w:jc w:val="both"/>
              <w:rPr>
                <w:sz w:val="22"/>
                <w:szCs w:val="22"/>
              </w:rPr>
            </w:pPr>
          </w:p>
        </w:tc>
        <w:tc>
          <w:tcPr>
            <w:tcW w:w="1981" w:type="dxa"/>
            <w:tcBorders>
              <w:top w:val="single" w:sz="4" w:space="0" w:color="auto"/>
              <w:left w:val="nil"/>
              <w:bottom w:val="nil"/>
              <w:right w:val="nil"/>
            </w:tcBorders>
            <w:vAlign w:val="bottom"/>
          </w:tcPr>
          <w:p w:rsidR="00CC5E44" w:rsidRPr="006E611C" w:rsidRDefault="00CC5E44" w:rsidP="00DF2D08">
            <w:pPr>
              <w:jc w:val="both"/>
              <w:rPr>
                <w:sz w:val="22"/>
                <w:szCs w:val="22"/>
              </w:rPr>
            </w:pPr>
            <w:r w:rsidRPr="006E611C">
              <w:rPr>
                <w:sz w:val="22"/>
                <w:szCs w:val="22"/>
              </w:rPr>
              <w:t xml:space="preserve">              </w:t>
            </w:r>
            <w:r w:rsidR="003022AE" w:rsidRPr="006E611C">
              <w:rPr>
                <w:sz w:val="22"/>
                <w:szCs w:val="22"/>
              </w:rPr>
              <w:t xml:space="preserve"> </w:t>
            </w:r>
            <w:r w:rsidR="00DF2D08">
              <w:rPr>
                <w:sz w:val="22"/>
                <w:szCs w:val="22"/>
              </w:rPr>
              <w:t>9</w:t>
            </w:r>
            <w:r w:rsidR="00C04EDA" w:rsidRPr="006E611C">
              <w:rPr>
                <w:sz w:val="22"/>
                <w:szCs w:val="22"/>
              </w:rPr>
              <w:t>,</w:t>
            </w:r>
            <w:r w:rsidR="00DF2D08">
              <w:rPr>
                <w:sz w:val="22"/>
                <w:szCs w:val="22"/>
              </w:rPr>
              <w:t>155</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p w:rsidR="00035FF2" w:rsidRPr="006E611C" w:rsidRDefault="00035FF2" w:rsidP="004E03D6">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9914CC">
              <w:rPr>
                <w:sz w:val="22"/>
                <w:szCs w:val="22"/>
              </w:rPr>
              <w:t xml:space="preserve">  </w:t>
            </w:r>
            <w:r w:rsidR="00DF2D08">
              <w:rPr>
                <w:sz w:val="22"/>
                <w:szCs w:val="22"/>
              </w:rPr>
              <w:t>(48)</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DF2D08">
              <w:rPr>
                <w:sz w:val="22"/>
                <w:szCs w:val="22"/>
              </w:rPr>
              <w:t>(48)</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4E03D6">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DF2D08">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DF2D08">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4E03D6">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DF2D08">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C04EDA" w:rsidRPr="006E611C">
              <w:rPr>
                <w:sz w:val="22"/>
                <w:szCs w:val="22"/>
              </w:rPr>
              <w:t xml:space="preserve"> </w:t>
            </w:r>
            <w:r w:rsidR="00DF2D08">
              <w:rPr>
                <w:sz w:val="22"/>
                <w:szCs w:val="22"/>
              </w:rPr>
              <w:t xml:space="preserve">  20</w:t>
            </w:r>
          </w:p>
        </w:tc>
        <w:tc>
          <w:tcPr>
            <w:tcW w:w="236" w:type="dxa"/>
            <w:tcBorders>
              <w:top w:val="nil"/>
              <w:left w:val="single" w:sz="4" w:space="0" w:color="auto"/>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4E03D6">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665989">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DF2D08">
              <w:rPr>
                <w:sz w:val="22"/>
                <w:szCs w:val="22"/>
              </w:rPr>
              <w:t xml:space="preserve"> (48)</w:t>
            </w:r>
          </w:p>
        </w:tc>
        <w:tc>
          <w:tcPr>
            <w:tcW w:w="450" w:type="dxa"/>
            <w:gridSpan w:val="2"/>
            <w:tcBorders>
              <w:top w:val="single" w:sz="4" w:space="0" w:color="auto"/>
              <w:left w:val="nil"/>
              <w:bottom w:val="nil"/>
              <w:right w:val="nil"/>
            </w:tcBorders>
            <w:vAlign w:val="bottom"/>
          </w:tcPr>
          <w:p w:rsidR="00035FF2" w:rsidRPr="006E611C" w:rsidRDefault="00035FF2" w:rsidP="004E03D6">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67136C">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3022AE" w:rsidRPr="006E611C">
              <w:rPr>
                <w:sz w:val="22"/>
                <w:szCs w:val="22"/>
              </w:rPr>
              <w:t xml:space="preserve"> </w:t>
            </w:r>
            <w:r w:rsidR="0067136C">
              <w:rPr>
                <w:sz w:val="22"/>
                <w:szCs w:val="22"/>
              </w:rPr>
              <w:t>(28)</w:t>
            </w:r>
          </w:p>
        </w:tc>
        <w:tc>
          <w:tcPr>
            <w:tcW w:w="236" w:type="dxa"/>
            <w:tcBorders>
              <w:top w:val="nil"/>
              <w:left w:val="nil"/>
              <w:bottom w:val="nil"/>
              <w:right w:val="nil"/>
            </w:tcBorders>
            <w:vAlign w:val="bottom"/>
          </w:tcPr>
          <w:p w:rsidR="00035FF2" w:rsidRPr="006E611C" w:rsidRDefault="00035FF2" w:rsidP="004E03D6">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4E03D6">
            <w:pPr>
              <w:jc w:val="both"/>
              <w:rPr>
                <w:sz w:val="22"/>
                <w:szCs w:val="22"/>
              </w:rPr>
            </w:pPr>
          </w:p>
        </w:tc>
        <w:tc>
          <w:tcPr>
            <w:tcW w:w="2160" w:type="dxa"/>
            <w:gridSpan w:val="2"/>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4E03D6">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4E03D6">
            <w:pPr>
              <w:jc w:val="both"/>
              <w:rPr>
                <w:sz w:val="22"/>
                <w:szCs w:val="22"/>
              </w:rPr>
            </w:pPr>
          </w:p>
        </w:tc>
        <w:tc>
          <w:tcPr>
            <w:tcW w:w="2070" w:type="dxa"/>
            <w:gridSpan w:val="2"/>
            <w:tcBorders>
              <w:left w:val="nil"/>
              <w:right w:val="nil"/>
            </w:tcBorders>
            <w:vAlign w:val="bottom"/>
          </w:tcPr>
          <w:p w:rsidR="00035FF2" w:rsidRPr="006E611C" w:rsidRDefault="00035FF2" w:rsidP="00DF2D08">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2269A" w:rsidRPr="006E611C">
              <w:rPr>
                <w:sz w:val="22"/>
                <w:szCs w:val="22"/>
              </w:rPr>
              <w:t xml:space="preserve"> </w:t>
            </w:r>
            <w:r w:rsidR="00DF2D08">
              <w:rPr>
                <w:sz w:val="22"/>
                <w:szCs w:val="22"/>
              </w:rPr>
              <w:t xml:space="preserve">    867</w:t>
            </w:r>
          </w:p>
        </w:tc>
        <w:tc>
          <w:tcPr>
            <w:tcW w:w="450" w:type="dxa"/>
            <w:gridSpan w:val="2"/>
            <w:tcBorders>
              <w:left w:val="nil"/>
              <w:right w:val="nil"/>
            </w:tcBorders>
            <w:vAlign w:val="bottom"/>
          </w:tcPr>
          <w:p w:rsidR="00035FF2" w:rsidRPr="006E611C" w:rsidRDefault="00035FF2" w:rsidP="004E03D6">
            <w:pPr>
              <w:jc w:val="both"/>
              <w:rPr>
                <w:sz w:val="22"/>
                <w:szCs w:val="22"/>
              </w:rPr>
            </w:pPr>
          </w:p>
        </w:tc>
        <w:tc>
          <w:tcPr>
            <w:tcW w:w="2160" w:type="dxa"/>
            <w:gridSpan w:val="2"/>
            <w:tcBorders>
              <w:left w:val="nil"/>
              <w:right w:val="nil"/>
            </w:tcBorders>
            <w:vAlign w:val="bottom"/>
          </w:tcPr>
          <w:p w:rsidR="00035FF2" w:rsidRPr="006E611C" w:rsidRDefault="00035FF2" w:rsidP="0067136C">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67136C">
              <w:rPr>
                <w:sz w:val="22"/>
                <w:szCs w:val="22"/>
              </w:rPr>
              <w:t>9</w:t>
            </w:r>
            <w:r w:rsidR="0032269A" w:rsidRPr="006E611C">
              <w:rPr>
                <w:sz w:val="22"/>
                <w:szCs w:val="22"/>
              </w:rPr>
              <w:t>,</w:t>
            </w:r>
            <w:r w:rsidR="0067136C">
              <w:rPr>
                <w:sz w:val="22"/>
                <w:szCs w:val="22"/>
              </w:rPr>
              <w:t>127</w:t>
            </w:r>
          </w:p>
        </w:tc>
        <w:tc>
          <w:tcPr>
            <w:tcW w:w="236" w:type="dxa"/>
            <w:tcBorders>
              <w:top w:val="nil"/>
              <w:left w:val="nil"/>
              <w:right w:val="nil"/>
            </w:tcBorders>
            <w:vAlign w:val="bottom"/>
          </w:tcPr>
          <w:p w:rsidR="00035FF2" w:rsidRPr="006E611C" w:rsidRDefault="00035FF2" w:rsidP="004E03D6">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the 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the</w:t>
      </w:r>
      <w:proofErr w:type="gramEnd"/>
      <w:r w:rsidRPr="006E611C">
        <w:rPr>
          <w:sz w:val="22"/>
          <w:szCs w:val="22"/>
        </w:rPr>
        <w:t xml:space="preserve"> tax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F2734" w:rsidRDefault="0067136C" w:rsidP="008A18FC">
      <w:pPr>
        <w:ind w:left="1080"/>
        <w:jc w:val="both"/>
        <w:rPr>
          <w:sz w:val="22"/>
          <w:szCs w:val="22"/>
        </w:rPr>
      </w:pPr>
      <w:r>
        <w:rPr>
          <w:sz w:val="22"/>
          <w:szCs w:val="22"/>
        </w:rPr>
        <w:t>There is no corporate proposal announced during the quarter under review.</w:t>
      </w:r>
    </w:p>
    <w:p w:rsidR="006F2734" w:rsidRDefault="006F2734"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67136C">
        <w:rPr>
          <w:bCs/>
          <w:sz w:val="22"/>
          <w:szCs w:val="22"/>
        </w:rPr>
        <w:t>799</w:t>
      </w:r>
      <w:r w:rsidR="00B27576">
        <w:rPr>
          <w:bCs/>
          <w:sz w:val="22"/>
          <w:szCs w:val="22"/>
        </w:rPr>
        <w:t>,</w:t>
      </w:r>
      <w:r w:rsidR="0067136C">
        <w:rPr>
          <w:bCs/>
          <w:sz w:val="22"/>
          <w:szCs w:val="22"/>
        </w:rPr>
        <w:t>1</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67136C">
        <w:rPr>
          <w:bCs/>
          <w:sz w:val="22"/>
          <w:szCs w:val="22"/>
        </w:rPr>
        <w:t>83</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120BA6">
        <w:rPr>
          <w:bCs/>
          <w:sz w:val="22"/>
          <w:szCs w:val="22"/>
        </w:rPr>
        <w:t>7</w:t>
      </w:r>
      <w:r w:rsidR="0067136C">
        <w:rPr>
          <w:bCs/>
          <w:sz w:val="22"/>
          <w:szCs w:val="22"/>
        </w:rPr>
        <w:t>99</w:t>
      </w:r>
      <w:r w:rsidR="00A06778">
        <w:rPr>
          <w:bCs/>
          <w:sz w:val="22"/>
          <w:szCs w:val="22"/>
        </w:rPr>
        <w:t>,</w:t>
      </w:r>
      <w:r w:rsidR="0067136C">
        <w:rPr>
          <w:bCs/>
          <w:sz w:val="22"/>
          <w:szCs w:val="22"/>
        </w:rPr>
        <w:t>1</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57458">
        <w:rPr>
          <w:bCs/>
          <w:sz w:val="22"/>
          <w:szCs w:val="22"/>
        </w:rPr>
        <w:t>0</w:t>
      </w:r>
      <w:r w:rsidR="0067136C">
        <w:rPr>
          <w:bCs/>
          <w:sz w:val="22"/>
          <w:szCs w:val="22"/>
        </w:rPr>
        <w:t>83</w:t>
      </w:r>
      <w:r w:rsidRPr="006E611C">
        <w:rPr>
          <w:bCs/>
          <w:sz w:val="22"/>
          <w:szCs w:val="22"/>
        </w:rPr>
        <w:t>,</w:t>
      </w:r>
      <w:r w:rsidR="0067136C">
        <w:rPr>
          <w:bCs/>
          <w:sz w:val="22"/>
          <w:szCs w:val="22"/>
        </w:rPr>
        <w:t>2</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
          <w:bCs/>
          <w:sz w:val="22"/>
          <w:szCs w:val="22"/>
        </w:rPr>
      </w:pPr>
    </w:p>
    <w:p w:rsidR="00643BD5" w:rsidRPr="006E611C" w:rsidRDefault="00643BD5"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3" w:name="_MON_1396444715"/>
      <w:bookmarkEnd w:id="3"/>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Pr="006E611C" w:rsidRDefault="00643BD5" w:rsidP="009D0247">
      <w:pPr>
        <w:tabs>
          <w:tab w:val="left" w:pos="1080"/>
        </w:tabs>
        <w:ind w:left="1080" w:hanging="720"/>
        <w:jc w:val="both"/>
        <w:rPr>
          <w:b/>
          <w:bCs/>
          <w:sz w:val="22"/>
          <w:szCs w:val="22"/>
        </w:rPr>
      </w:pPr>
      <w:r w:rsidRPr="006E611C">
        <w:rPr>
          <w:b/>
          <w:bCs/>
          <w:sz w:val="22"/>
          <w:szCs w:val="22"/>
        </w:rPr>
        <w:tab/>
      </w:r>
    </w:p>
    <w:p w:rsidR="00120BA6" w:rsidRPr="00DA0496" w:rsidRDefault="00120BA6" w:rsidP="00120BA6">
      <w:pPr>
        <w:tabs>
          <w:tab w:val="left" w:pos="1080"/>
        </w:tabs>
        <w:ind w:left="1080"/>
        <w:jc w:val="both"/>
        <w:rPr>
          <w:bCs/>
          <w:sz w:val="22"/>
          <w:szCs w:val="22"/>
        </w:rPr>
      </w:pPr>
      <w:r w:rsidRPr="00DA0496">
        <w:rPr>
          <w:bCs/>
          <w:sz w:val="22"/>
          <w:szCs w:val="22"/>
        </w:rPr>
        <w:t>The</w:t>
      </w:r>
      <w:r w:rsidR="006C51A9">
        <w:rPr>
          <w:bCs/>
          <w:sz w:val="22"/>
          <w:szCs w:val="22"/>
        </w:rPr>
        <w:t>re</w:t>
      </w:r>
      <w:r w:rsidRPr="00DA0496">
        <w:rPr>
          <w:bCs/>
          <w:sz w:val="22"/>
          <w:szCs w:val="22"/>
        </w:rPr>
        <w:t xml:space="preserve"> </w:t>
      </w:r>
      <w:r w:rsidR="0067136C">
        <w:rPr>
          <w:bCs/>
          <w:sz w:val="22"/>
          <w:szCs w:val="22"/>
        </w:rPr>
        <w:t>is no dividend recommended by directors during the quarter under review.</w:t>
      </w:r>
      <w:r w:rsidRPr="00DA0496">
        <w:rPr>
          <w:bCs/>
          <w:sz w:val="22"/>
          <w:szCs w:val="22"/>
        </w:rPr>
        <w:t xml:space="preserve"> </w:t>
      </w:r>
    </w:p>
    <w:p w:rsidR="00120BA6" w:rsidRPr="00DA0496" w:rsidRDefault="00120BA6" w:rsidP="00120BA6">
      <w:pPr>
        <w:tabs>
          <w:tab w:val="left" w:pos="1080"/>
        </w:tabs>
        <w:jc w:val="both"/>
        <w:rPr>
          <w:bCs/>
          <w:sz w:val="22"/>
          <w:szCs w:val="22"/>
        </w:rPr>
      </w:pPr>
      <w:r w:rsidRPr="00DA0496">
        <w:rPr>
          <w:bCs/>
          <w:sz w:val="22"/>
          <w:szCs w:val="22"/>
        </w:rPr>
        <w:t xml:space="preserve"> </w:t>
      </w:r>
    </w:p>
    <w:p w:rsidR="006F2734" w:rsidRDefault="006F2734"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9F4C12" w:rsidRDefault="009F4C12" w:rsidP="006F2734">
      <w:pPr>
        <w:tabs>
          <w:tab w:val="left" w:pos="1080"/>
        </w:tabs>
        <w:ind w:left="1080"/>
        <w:jc w:val="both"/>
        <w:rPr>
          <w:b/>
          <w:bCs/>
          <w:sz w:val="22"/>
          <w:szCs w:val="22"/>
        </w:rPr>
      </w:pPr>
    </w:p>
    <w:bookmarkStart w:id="4" w:name="_MON_1396444837"/>
    <w:bookmarkEnd w:id="4"/>
    <w:p w:rsidR="00643BD5" w:rsidRPr="006E611C" w:rsidRDefault="00E9271E" w:rsidP="006F2734">
      <w:pPr>
        <w:tabs>
          <w:tab w:val="left" w:pos="1080"/>
        </w:tabs>
        <w:ind w:left="1080"/>
        <w:jc w:val="both"/>
        <w:rPr>
          <w:b/>
          <w:bCs/>
          <w:sz w:val="22"/>
          <w:szCs w:val="22"/>
        </w:rPr>
      </w:pPr>
      <w:r w:rsidRPr="006E611C">
        <w:rPr>
          <w:b/>
          <w:bCs/>
          <w:sz w:val="22"/>
          <w:szCs w:val="22"/>
        </w:rPr>
        <w:object w:dxaOrig="8824" w:dyaOrig="3349">
          <v:shape id="_x0000_i1026" type="#_x0000_t75" style="width:431.3pt;height:164.4pt" o:ole="" fillcolor="window">
            <v:imagedata r:id="rId10" o:title=""/>
          </v:shape>
          <o:OLEObject Type="Embed" ProgID="Excel.Sheet.8" ShapeID="_x0000_i1026" DrawAspect="Content" ObjectID="_1445438188" r:id="rId11"/>
        </w:object>
      </w:r>
      <w:r w:rsidR="00643BD5" w:rsidRPr="006E611C">
        <w:rPr>
          <w:b/>
          <w:bCs/>
          <w:sz w:val="22"/>
          <w:szCs w:val="22"/>
        </w:rPr>
        <w:t xml:space="preserve">   </w:t>
      </w: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9F4C12" w:rsidRDefault="009F4C12" w:rsidP="00264BBB">
      <w:pPr>
        <w:tabs>
          <w:tab w:val="left" w:pos="1080"/>
        </w:tabs>
        <w:ind w:left="1080" w:hanging="720"/>
        <w:jc w:val="both"/>
        <w:rPr>
          <w:b/>
          <w:bCs/>
          <w:sz w:val="22"/>
          <w:szCs w:val="22"/>
        </w:rPr>
      </w:pP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74054"/>
      <w:bookmarkStart w:id="6" w:name="_MON_1396779710"/>
      <w:bookmarkStart w:id="7" w:name="_MON_1396709353"/>
      <w:bookmarkStart w:id="8" w:name="_MON_1396939771"/>
      <w:bookmarkStart w:id="9" w:name="_MON_1396709441"/>
      <w:bookmarkStart w:id="10" w:name="_MON_1396709312"/>
      <w:bookmarkStart w:id="11" w:name="_MON_1396772729"/>
      <w:bookmarkStart w:id="12" w:name="_MON_1396773492"/>
      <w:bookmarkStart w:id="13" w:name="_MON_1396773887"/>
      <w:bookmarkEnd w:id="5"/>
      <w:bookmarkEnd w:id="6"/>
      <w:bookmarkEnd w:id="7"/>
      <w:bookmarkEnd w:id="8"/>
      <w:bookmarkEnd w:id="9"/>
      <w:bookmarkEnd w:id="10"/>
      <w:bookmarkEnd w:id="11"/>
      <w:bookmarkEnd w:id="12"/>
      <w:bookmarkEnd w:id="13"/>
      <w:bookmarkStart w:id="14" w:name="_MON_1396773964"/>
      <w:bookmarkEnd w:id="14"/>
      <w:r w:rsidR="00BF4432" w:rsidRPr="00A97611">
        <w:rPr>
          <w:b/>
          <w:bCs/>
          <w:sz w:val="22"/>
          <w:szCs w:val="22"/>
        </w:rPr>
        <w:object w:dxaOrig="7075" w:dyaOrig="5109">
          <v:shape id="_x0000_i1027" type="#_x0000_t75" style="width:362.7pt;height:255.4pt" o:ole="">
            <v:imagedata r:id="rId12" o:title=""/>
          </v:shape>
          <o:OLEObject Type="Embed" ProgID="Excel.Sheet.12" ShapeID="_x0000_i1027" DrawAspect="Content" ObjectID="_1445438189" r:id="rId13"/>
        </w:object>
      </w:r>
    </w:p>
    <w:p w:rsidR="006F0E41" w:rsidRDefault="006F0E41" w:rsidP="00264BBB">
      <w:pPr>
        <w:tabs>
          <w:tab w:val="left" w:pos="1080"/>
        </w:tabs>
        <w:ind w:left="1080" w:hanging="720"/>
        <w:jc w:val="both"/>
        <w:rPr>
          <w:b/>
          <w:bCs/>
          <w:sz w:val="22"/>
          <w:szCs w:val="22"/>
        </w:rPr>
      </w:pPr>
    </w:p>
    <w:p w:rsidR="006F2734" w:rsidRDefault="006F2734"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 xml:space="preserve">Disclosure of </w:t>
      </w:r>
      <w:proofErr w:type="spellStart"/>
      <w:r w:rsidR="00643BD5" w:rsidRPr="006E611C">
        <w:rPr>
          <w:b/>
          <w:bCs/>
          <w:sz w:val="22"/>
          <w:szCs w:val="22"/>
        </w:rPr>
        <w:t>realised</w:t>
      </w:r>
      <w:proofErr w:type="spellEnd"/>
      <w:r w:rsidR="00643BD5" w:rsidRPr="006E611C">
        <w:rPr>
          <w:b/>
          <w:bCs/>
          <w:sz w:val="22"/>
          <w:szCs w:val="22"/>
        </w:rPr>
        <w:t xml:space="preserve"> and </w:t>
      </w:r>
      <w:proofErr w:type="spellStart"/>
      <w:r w:rsidR="00643BD5" w:rsidRPr="006E611C">
        <w:rPr>
          <w:b/>
          <w:bCs/>
          <w:sz w:val="22"/>
          <w:szCs w:val="22"/>
        </w:rPr>
        <w:t>unrealised</w:t>
      </w:r>
      <w:proofErr w:type="spellEnd"/>
      <w:r w:rsidR="00643BD5" w:rsidRPr="006E611C">
        <w:rPr>
          <w:b/>
          <w:bCs/>
          <w:sz w:val="22"/>
          <w:szCs w:val="22"/>
        </w:rPr>
        <w:t xml:space="preserve">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445379"/>
      <w:bookmarkStart w:id="16" w:name="_MON_1396781848"/>
      <w:bookmarkEnd w:id="15"/>
      <w:bookmarkEnd w:id="16"/>
      <w:bookmarkStart w:id="17" w:name="_MON_1396445306"/>
      <w:bookmarkEnd w:id="17"/>
      <w:r w:rsidR="00BF4432" w:rsidRPr="006E611C">
        <w:rPr>
          <w:b/>
          <w:bCs/>
          <w:sz w:val="22"/>
          <w:szCs w:val="22"/>
        </w:rPr>
        <w:object w:dxaOrig="8256" w:dyaOrig="4406">
          <v:shape id="_x0000_i1028" type="#_x0000_t75" style="width:404.85pt;height:215.3pt" o:ole="" fillcolor="window">
            <v:imagedata r:id="rId14" o:title=""/>
          </v:shape>
          <o:OLEObject Type="Embed" ProgID="Excel.Sheet.8" ShapeID="_x0000_i1028" DrawAspect="Content" ObjectID="_1445438190" r:id="rId15"/>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Chen, High</w:t>
      </w:r>
      <w:r w:rsidR="007A0816">
        <w:rPr>
          <w:sz w:val="22"/>
          <w:szCs w:val="22"/>
        </w:rPr>
        <w:t>-</w:t>
      </w:r>
      <w:proofErr w:type="spellStart"/>
      <w:r w:rsidR="005F5446">
        <w:rPr>
          <w:sz w:val="22"/>
          <w:szCs w:val="22"/>
        </w:rPr>
        <w:t>Pinn</w:t>
      </w:r>
      <w:proofErr w:type="spellEnd"/>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6C48A2" w:rsidP="00B27576">
      <w:pPr>
        <w:tabs>
          <w:tab w:val="left" w:pos="1080"/>
        </w:tabs>
        <w:ind w:left="1080" w:hanging="720"/>
        <w:jc w:val="both"/>
        <w:rPr>
          <w:sz w:val="22"/>
          <w:szCs w:val="22"/>
        </w:rPr>
      </w:pPr>
      <w:r>
        <w:rPr>
          <w:sz w:val="22"/>
          <w:szCs w:val="22"/>
        </w:rPr>
        <w:t>8</w:t>
      </w:r>
      <w:r w:rsidRPr="006C48A2">
        <w:rPr>
          <w:sz w:val="22"/>
          <w:szCs w:val="22"/>
          <w:vertAlign w:val="superscript"/>
        </w:rPr>
        <w:t>th</w:t>
      </w:r>
      <w:r>
        <w:rPr>
          <w:sz w:val="22"/>
          <w:szCs w:val="22"/>
        </w:rPr>
        <w:t xml:space="preserve"> November </w:t>
      </w:r>
      <w:r w:rsidR="005249A5" w:rsidRPr="006E611C">
        <w:rPr>
          <w:sz w:val="22"/>
          <w:szCs w:val="22"/>
        </w:rPr>
        <w:t>201</w:t>
      </w:r>
      <w:r w:rsidR="00946542">
        <w:rPr>
          <w:sz w:val="22"/>
          <w:szCs w:val="22"/>
        </w:rPr>
        <w:t>3</w:t>
      </w:r>
    </w:p>
    <w:p w:rsidR="00946542" w:rsidRPr="00946542" w:rsidRDefault="00946542" w:rsidP="00946542">
      <w:pPr>
        <w:rPr>
          <w:sz w:val="22"/>
          <w:szCs w:val="22"/>
        </w:rPr>
      </w:pPr>
    </w:p>
    <w:p w:rsidR="00946542" w:rsidRDefault="00946542" w:rsidP="00946542">
      <w:pPr>
        <w:rPr>
          <w:sz w:val="22"/>
          <w:szCs w:val="22"/>
        </w:rPr>
      </w:pPr>
    </w:p>
    <w:p w:rsidR="00643BD5" w:rsidRPr="00946542" w:rsidRDefault="00946542" w:rsidP="00946542">
      <w:pPr>
        <w:tabs>
          <w:tab w:val="left" w:pos="1685"/>
        </w:tabs>
        <w:rPr>
          <w:sz w:val="22"/>
          <w:szCs w:val="22"/>
        </w:rPr>
      </w:pPr>
      <w:r>
        <w:rPr>
          <w:sz w:val="22"/>
          <w:szCs w:val="22"/>
        </w:rPr>
        <w:tab/>
      </w:r>
    </w:p>
    <w:sectPr w:rsidR="00643BD5" w:rsidRPr="00946542" w:rsidSect="00C87881">
      <w:headerReference w:type="default" r:id="rId16"/>
      <w:footerReference w:type="even" r:id="rId17"/>
      <w:footerReference w:type="default" r:id="rId18"/>
      <w:pgSz w:w="11909" w:h="16834" w:code="9"/>
      <w:pgMar w:top="1800" w:right="1080" w:bottom="900" w:left="720" w:header="720" w:footer="6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AB" w:rsidRDefault="00BC6EAB">
      <w:r>
        <w:separator/>
      </w:r>
    </w:p>
  </w:endnote>
  <w:endnote w:type="continuationSeparator" w:id="0">
    <w:p w:rsidR="00BC6EAB" w:rsidRDefault="00BC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EA14EF" w:rsidP="00723820">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end"/>
    </w:r>
  </w:p>
  <w:p w:rsidR="00643BD5" w:rsidRDefault="00643BD5" w:rsidP="004D6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EA14EF" w:rsidP="00D71A74">
    <w:pPr>
      <w:pStyle w:val="Footer"/>
      <w:framePr w:wrap="around" w:vAnchor="text" w:hAnchor="margin" w:xAlign="right" w:y="1"/>
      <w:rPr>
        <w:rStyle w:val="PageNumber"/>
      </w:rPr>
    </w:pPr>
    <w:r>
      <w:rPr>
        <w:rStyle w:val="PageNumber"/>
      </w:rPr>
      <w:fldChar w:fldCharType="begin"/>
    </w:r>
    <w:r w:rsidR="00643BD5">
      <w:rPr>
        <w:rStyle w:val="PageNumber"/>
      </w:rPr>
      <w:instrText xml:space="preserve">PAGE  </w:instrText>
    </w:r>
    <w:r>
      <w:rPr>
        <w:rStyle w:val="PageNumber"/>
      </w:rPr>
      <w:fldChar w:fldCharType="separate"/>
    </w:r>
    <w:r w:rsidR="006C50C1">
      <w:rPr>
        <w:rStyle w:val="PageNumber"/>
        <w:noProof/>
      </w:rPr>
      <w:t>4</w:t>
    </w:r>
    <w:r>
      <w:rPr>
        <w:rStyle w:val="PageNumber"/>
      </w:rPr>
      <w:fldChar w:fldCharType="end"/>
    </w:r>
  </w:p>
  <w:p w:rsidR="00643BD5" w:rsidRDefault="00643BD5">
    <w:pPr>
      <w:pStyle w:val="Footer"/>
      <w:ind w:right="360"/>
      <w:jc w:val="center"/>
      <w:rPr>
        <w:sz w:val="22"/>
        <w:szCs w:val="22"/>
      </w:rPr>
    </w:pPr>
  </w:p>
  <w:p w:rsidR="00643BD5" w:rsidRDefault="00643BD5">
    <w:pPr>
      <w:pStyle w:val="Footer"/>
      <w:ind w:right="360"/>
      <w:jc w:val="center"/>
      <w:rPr>
        <w:sz w:val="22"/>
        <w:szCs w:val="22"/>
      </w:rPr>
    </w:pPr>
  </w:p>
  <w:p w:rsidR="00643BD5" w:rsidRDefault="00643B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AB" w:rsidRDefault="00BC6EAB">
      <w:r>
        <w:separator/>
      </w:r>
    </w:p>
  </w:footnote>
  <w:footnote w:type="continuationSeparator" w:id="0">
    <w:p w:rsidR="00BC6EAB" w:rsidRDefault="00BC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5" w:rsidRDefault="00643BD5">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643BD5" w:rsidRPr="005B45A4" w:rsidRDefault="00643BD5">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643BD5" w:rsidRDefault="00643BD5">
    <w:pPr>
      <w:pStyle w:val="Header"/>
      <w:rPr>
        <w:rFonts w:ascii="Arial" w:hAnsi="Arial" w:cs="Arial"/>
        <w:b/>
        <w:bCs/>
        <w:i/>
        <w:iCs/>
        <w:sz w:val="22"/>
        <w:szCs w:val="22"/>
      </w:rPr>
    </w:pPr>
  </w:p>
  <w:p w:rsidR="00643BD5" w:rsidRDefault="00643BD5">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037950">
      <w:rPr>
        <w:rFonts w:ascii="Arial" w:hAnsi="Arial" w:cs="Arial"/>
        <w:b/>
        <w:bCs/>
        <w:sz w:val="22"/>
        <w:szCs w:val="22"/>
      </w:rPr>
      <w:t>Nine</w:t>
    </w:r>
    <w:r>
      <w:rPr>
        <w:rFonts w:ascii="Arial" w:hAnsi="Arial" w:cs="Arial"/>
        <w:b/>
        <w:bCs/>
        <w:sz w:val="22"/>
        <w:szCs w:val="22"/>
      </w:rPr>
      <w:t xml:space="preserve"> Months Ended </w:t>
    </w:r>
    <w:r w:rsidR="007E2EB6">
      <w:rPr>
        <w:rFonts w:ascii="Arial" w:hAnsi="Arial" w:cs="Arial"/>
        <w:b/>
        <w:bCs/>
        <w:sz w:val="22"/>
        <w:szCs w:val="22"/>
      </w:rPr>
      <w:t>3</w:t>
    </w:r>
    <w:r w:rsidR="00213467">
      <w:rPr>
        <w:rFonts w:ascii="Arial" w:hAnsi="Arial" w:cs="Arial"/>
        <w:b/>
        <w:bCs/>
        <w:sz w:val="22"/>
        <w:szCs w:val="22"/>
      </w:rPr>
      <w:t xml:space="preserve">0 </w:t>
    </w:r>
    <w:r w:rsidR="00037950">
      <w:rPr>
        <w:rFonts w:ascii="Arial" w:hAnsi="Arial" w:cs="Arial"/>
        <w:b/>
        <w:bCs/>
        <w:sz w:val="22"/>
        <w:szCs w:val="22"/>
      </w:rPr>
      <w:t>September</w:t>
    </w:r>
    <w:r w:rsidR="007562DB">
      <w:rPr>
        <w:rFonts w:ascii="Arial" w:hAnsi="Arial" w:cs="Arial"/>
        <w:b/>
        <w:bCs/>
        <w:sz w:val="22"/>
        <w:szCs w:val="22"/>
      </w:rPr>
      <w:t xml:space="preserve"> 201</w:t>
    </w:r>
    <w:r w:rsidR="006743DF">
      <w:rPr>
        <w:rFonts w:ascii="Arial" w:hAnsi="Arial" w:cs="Arial"/>
        <w:b/>
        <w:bCs/>
        <w:sz w:val="22"/>
        <w:szCs w:val="22"/>
      </w:rPr>
      <w:t>3</w:t>
    </w:r>
  </w:p>
  <w:p w:rsidR="00643BD5" w:rsidRDefault="00643BD5">
    <w:pPr>
      <w:pStyle w:val="Header"/>
      <w:tabs>
        <w:tab w:val="clear" w:pos="8640"/>
        <w:tab w:val="right" w:pos="10109"/>
      </w:tabs>
    </w:pPr>
  </w:p>
  <w:p w:rsidR="00643BD5" w:rsidRDefault="00643BD5">
    <w:pPr>
      <w:pStyle w:val="Header"/>
      <w:tabs>
        <w:tab w:val="clear" w:pos="8640"/>
        <w:tab w:val="right" w:pos="101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0B"/>
    <w:rsid w:val="000002B0"/>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37950"/>
    <w:rsid w:val="0004024B"/>
    <w:rsid w:val="00040B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6B58"/>
    <w:rsid w:val="00066ED3"/>
    <w:rsid w:val="00067E58"/>
    <w:rsid w:val="0007104E"/>
    <w:rsid w:val="00071179"/>
    <w:rsid w:val="00071310"/>
    <w:rsid w:val="00075C29"/>
    <w:rsid w:val="00076BD2"/>
    <w:rsid w:val="0008024C"/>
    <w:rsid w:val="00080C1C"/>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B0E1E"/>
    <w:rsid w:val="000B2886"/>
    <w:rsid w:val="000B3D1A"/>
    <w:rsid w:val="000B48F9"/>
    <w:rsid w:val="000B59C0"/>
    <w:rsid w:val="000B5D0D"/>
    <w:rsid w:val="000B63EB"/>
    <w:rsid w:val="000B6EF9"/>
    <w:rsid w:val="000B7C80"/>
    <w:rsid w:val="000C06D6"/>
    <w:rsid w:val="000C4994"/>
    <w:rsid w:val="000C4A21"/>
    <w:rsid w:val="000C6008"/>
    <w:rsid w:val="000D0977"/>
    <w:rsid w:val="000D0BA2"/>
    <w:rsid w:val="000E11E6"/>
    <w:rsid w:val="000E1B5F"/>
    <w:rsid w:val="000E2122"/>
    <w:rsid w:val="000E3550"/>
    <w:rsid w:val="000E3781"/>
    <w:rsid w:val="000E3B91"/>
    <w:rsid w:val="000E4F2A"/>
    <w:rsid w:val="000E629A"/>
    <w:rsid w:val="000E64D8"/>
    <w:rsid w:val="000F0C2F"/>
    <w:rsid w:val="000F508D"/>
    <w:rsid w:val="000F5095"/>
    <w:rsid w:val="000F5DCE"/>
    <w:rsid w:val="000F6F17"/>
    <w:rsid w:val="00100DF1"/>
    <w:rsid w:val="001021FA"/>
    <w:rsid w:val="001022D3"/>
    <w:rsid w:val="001111DB"/>
    <w:rsid w:val="00111DA6"/>
    <w:rsid w:val="0011202A"/>
    <w:rsid w:val="00113372"/>
    <w:rsid w:val="001137ED"/>
    <w:rsid w:val="00114710"/>
    <w:rsid w:val="0011676D"/>
    <w:rsid w:val="001167D8"/>
    <w:rsid w:val="001168F1"/>
    <w:rsid w:val="001179CC"/>
    <w:rsid w:val="00120919"/>
    <w:rsid w:val="00120BA6"/>
    <w:rsid w:val="0012149F"/>
    <w:rsid w:val="0012408A"/>
    <w:rsid w:val="001241DA"/>
    <w:rsid w:val="00126C98"/>
    <w:rsid w:val="00127752"/>
    <w:rsid w:val="00132FF1"/>
    <w:rsid w:val="00133210"/>
    <w:rsid w:val="0013351C"/>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629B"/>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67CD"/>
    <w:rsid w:val="001970C8"/>
    <w:rsid w:val="001A0466"/>
    <w:rsid w:val="001A06BA"/>
    <w:rsid w:val="001A0F1D"/>
    <w:rsid w:val="001A18DB"/>
    <w:rsid w:val="001A6499"/>
    <w:rsid w:val="001B1273"/>
    <w:rsid w:val="001B19D0"/>
    <w:rsid w:val="001B1A43"/>
    <w:rsid w:val="001B20D3"/>
    <w:rsid w:val="001B2C49"/>
    <w:rsid w:val="001B35F5"/>
    <w:rsid w:val="001B3DFD"/>
    <w:rsid w:val="001B4699"/>
    <w:rsid w:val="001B742B"/>
    <w:rsid w:val="001B7482"/>
    <w:rsid w:val="001C0E72"/>
    <w:rsid w:val="001C191E"/>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43F4"/>
    <w:rsid w:val="001F5046"/>
    <w:rsid w:val="001F64CA"/>
    <w:rsid w:val="001F6D82"/>
    <w:rsid w:val="001F73EE"/>
    <w:rsid w:val="001F796C"/>
    <w:rsid w:val="00201FD0"/>
    <w:rsid w:val="00202EBE"/>
    <w:rsid w:val="00205F35"/>
    <w:rsid w:val="0021011E"/>
    <w:rsid w:val="00211A23"/>
    <w:rsid w:val="00213467"/>
    <w:rsid w:val="00215D33"/>
    <w:rsid w:val="00216203"/>
    <w:rsid w:val="00221E62"/>
    <w:rsid w:val="002221C3"/>
    <w:rsid w:val="00222286"/>
    <w:rsid w:val="00223AD9"/>
    <w:rsid w:val="0022446F"/>
    <w:rsid w:val="00224D4B"/>
    <w:rsid w:val="00225BF3"/>
    <w:rsid w:val="0022702D"/>
    <w:rsid w:val="0023132F"/>
    <w:rsid w:val="00231F9A"/>
    <w:rsid w:val="00235010"/>
    <w:rsid w:val="00236FCE"/>
    <w:rsid w:val="0023705D"/>
    <w:rsid w:val="0024062A"/>
    <w:rsid w:val="002417AF"/>
    <w:rsid w:val="00242278"/>
    <w:rsid w:val="0024269B"/>
    <w:rsid w:val="0024550B"/>
    <w:rsid w:val="002456C6"/>
    <w:rsid w:val="002462F7"/>
    <w:rsid w:val="0024765A"/>
    <w:rsid w:val="00247C39"/>
    <w:rsid w:val="0025075B"/>
    <w:rsid w:val="00252D64"/>
    <w:rsid w:val="00252EC0"/>
    <w:rsid w:val="00255A1A"/>
    <w:rsid w:val="00255FF6"/>
    <w:rsid w:val="00256B89"/>
    <w:rsid w:val="00256D7E"/>
    <w:rsid w:val="0026105A"/>
    <w:rsid w:val="002611A3"/>
    <w:rsid w:val="00261319"/>
    <w:rsid w:val="00262B29"/>
    <w:rsid w:val="00263325"/>
    <w:rsid w:val="00264BBB"/>
    <w:rsid w:val="002653F3"/>
    <w:rsid w:val="002655BF"/>
    <w:rsid w:val="00265650"/>
    <w:rsid w:val="00266ABD"/>
    <w:rsid w:val="002718D8"/>
    <w:rsid w:val="00274A61"/>
    <w:rsid w:val="002779ED"/>
    <w:rsid w:val="00280344"/>
    <w:rsid w:val="00281594"/>
    <w:rsid w:val="00281CF0"/>
    <w:rsid w:val="0028273C"/>
    <w:rsid w:val="00282A0C"/>
    <w:rsid w:val="00282C90"/>
    <w:rsid w:val="00284078"/>
    <w:rsid w:val="00284BE2"/>
    <w:rsid w:val="002859B7"/>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FDF"/>
    <w:rsid w:val="002B33D3"/>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3BEA"/>
    <w:rsid w:val="002E3D34"/>
    <w:rsid w:val="002E3EA6"/>
    <w:rsid w:val="002E5DE0"/>
    <w:rsid w:val="002E7366"/>
    <w:rsid w:val="002F031D"/>
    <w:rsid w:val="002F0EC9"/>
    <w:rsid w:val="002F1CB3"/>
    <w:rsid w:val="002F1EC9"/>
    <w:rsid w:val="002F35A3"/>
    <w:rsid w:val="002F373C"/>
    <w:rsid w:val="002F4018"/>
    <w:rsid w:val="002F582F"/>
    <w:rsid w:val="002F5F61"/>
    <w:rsid w:val="002F69FB"/>
    <w:rsid w:val="002F7AA6"/>
    <w:rsid w:val="00301EED"/>
    <w:rsid w:val="003022AE"/>
    <w:rsid w:val="003038BB"/>
    <w:rsid w:val="00303EF2"/>
    <w:rsid w:val="00305369"/>
    <w:rsid w:val="00306E0E"/>
    <w:rsid w:val="00310C65"/>
    <w:rsid w:val="003126AC"/>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739E"/>
    <w:rsid w:val="0034797F"/>
    <w:rsid w:val="00350347"/>
    <w:rsid w:val="00353792"/>
    <w:rsid w:val="0035462F"/>
    <w:rsid w:val="00354922"/>
    <w:rsid w:val="003550C9"/>
    <w:rsid w:val="003558E4"/>
    <w:rsid w:val="00356C9C"/>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611B"/>
    <w:rsid w:val="003842DB"/>
    <w:rsid w:val="00385091"/>
    <w:rsid w:val="00385C82"/>
    <w:rsid w:val="00385C90"/>
    <w:rsid w:val="00387099"/>
    <w:rsid w:val="003875D8"/>
    <w:rsid w:val="003876CC"/>
    <w:rsid w:val="0039036E"/>
    <w:rsid w:val="00391F32"/>
    <w:rsid w:val="00393B27"/>
    <w:rsid w:val="003940DD"/>
    <w:rsid w:val="0039765B"/>
    <w:rsid w:val="003A069E"/>
    <w:rsid w:val="003A38E1"/>
    <w:rsid w:val="003A407F"/>
    <w:rsid w:val="003A5826"/>
    <w:rsid w:val="003A62E5"/>
    <w:rsid w:val="003A7B78"/>
    <w:rsid w:val="003A7DE4"/>
    <w:rsid w:val="003B0D08"/>
    <w:rsid w:val="003B1EB6"/>
    <w:rsid w:val="003B27E3"/>
    <w:rsid w:val="003B28E2"/>
    <w:rsid w:val="003C10CF"/>
    <w:rsid w:val="003C11DB"/>
    <w:rsid w:val="003C1BD7"/>
    <w:rsid w:val="003C3058"/>
    <w:rsid w:val="003C359C"/>
    <w:rsid w:val="003C3B6A"/>
    <w:rsid w:val="003C53B8"/>
    <w:rsid w:val="003C6770"/>
    <w:rsid w:val="003C7BBA"/>
    <w:rsid w:val="003D4566"/>
    <w:rsid w:val="003D6DAF"/>
    <w:rsid w:val="003E29F5"/>
    <w:rsid w:val="003E3BD5"/>
    <w:rsid w:val="003E45F5"/>
    <w:rsid w:val="003E4D30"/>
    <w:rsid w:val="003E5159"/>
    <w:rsid w:val="003E5681"/>
    <w:rsid w:val="003E5784"/>
    <w:rsid w:val="003E6A6B"/>
    <w:rsid w:val="003E6FFD"/>
    <w:rsid w:val="003F1232"/>
    <w:rsid w:val="003F1BBF"/>
    <w:rsid w:val="003F24F0"/>
    <w:rsid w:val="003F481B"/>
    <w:rsid w:val="003F6C76"/>
    <w:rsid w:val="003F7487"/>
    <w:rsid w:val="004036B0"/>
    <w:rsid w:val="004079CD"/>
    <w:rsid w:val="00410A5A"/>
    <w:rsid w:val="004121A5"/>
    <w:rsid w:val="004128BE"/>
    <w:rsid w:val="004137A2"/>
    <w:rsid w:val="00413932"/>
    <w:rsid w:val="00414CB0"/>
    <w:rsid w:val="0041569E"/>
    <w:rsid w:val="00417265"/>
    <w:rsid w:val="00420A18"/>
    <w:rsid w:val="004210D4"/>
    <w:rsid w:val="00422E99"/>
    <w:rsid w:val="00424159"/>
    <w:rsid w:val="00424A87"/>
    <w:rsid w:val="004258FD"/>
    <w:rsid w:val="0043547B"/>
    <w:rsid w:val="00435DD0"/>
    <w:rsid w:val="004361F5"/>
    <w:rsid w:val="004365A6"/>
    <w:rsid w:val="00436C7A"/>
    <w:rsid w:val="00437376"/>
    <w:rsid w:val="00442FBF"/>
    <w:rsid w:val="004475B8"/>
    <w:rsid w:val="0044787E"/>
    <w:rsid w:val="004502FD"/>
    <w:rsid w:val="0045388F"/>
    <w:rsid w:val="0045419B"/>
    <w:rsid w:val="00454580"/>
    <w:rsid w:val="00454877"/>
    <w:rsid w:val="00455C7B"/>
    <w:rsid w:val="00455CED"/>
    <w:rsid w:val="00457AA0"/>
    <w:rsid w:val="00461539"/>
    <w:rsid w:val="00461582"/>
    <w:rsid w:val="004643FE"/>
    <w:rsid w:val="00464C13"/>
    <w:rsid w:val="0046605F"/>
    <w:rsid w:val="004678EC"/>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2B7C"/>
    <w:rsid w:val="00492C73"/>
    <w:rsid w:val="004930E6"/>
    <w:rsid w:val="00495714"/>
    <w:rsid w:val="004957E2"/>
    <w:rsid w:val="004959D0"/>
    <w:rsid w:val="00496B42"/>
    <w:rsid w:val="004A1192"/>
    <w:rsid w:val="004A246E"/>
    <w:rsid w:val="004A2494"/>
    <w:rsid w:val="004A2A35"/>
    <w:rsid w:val="004A455E"/>
    <w:rsid w:val="004A5D67"/>
    <w:rsid w:val="004A7788"/>
    <w:rsid w:val="004B235B"/>
    <w:rsid w:val="004B3AEB"/>
    <w:rsid w:val="004B4C55"/>
    <w:rsid w:val="004B5B96"/>
    <w:rsid w:val="004B6E94"/>
    <w:rsid w:val="004C012E"/>
    <w:rsid w:val="004C3A44"/>
    <w:rsid w:val="004C5958"/>
    <w:rsid w:val="004C7594"/>
    <w:rsid w:val="004C7922"/>
    <w:rsid w:val="004D0782"/>
    <w:rsid w:val="004D30B7"/>
    <w:rsid w:val="004D6E06"/>
    <w:rsid w:val="004D7A1C"/>
    <w:rsid w:val="004E0883"/>
    <w:rsid w:val="004E16D3"/>
    <w:rsid w:val="004E19EC"/>
    <w:rsid w:val="004E2CCC"/>
    <w:rsid w:val="004E4BC1"/>
    <w:rsid w:val="004E60E3"/>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F44"/>
    <w:rsid w:val="005A0846"/>
    <w:rsid w:val="005A159A"/>
    <w:rsid w:val="005A2B1E"/>
    <w:rsid w:val="005A3150"/>
    <w:rsid w:val="005A3D6E"/>
    <w:rsid w:val="005A671B"/>
    <w:rsid w:val="005A7095"/>
    <w:rsid w:val="005A72CA"/>
    <w:rsid w:val="005A7840"/>
    <w:rsid w:val="005A7A43"/>
    <w:rsid w:val="005B17AB"/>
    <w:rsid w:val="005B37F4"/>
    <w:rsid w:val="005B43EF"/>
    <w:rsid w:val="005B446E"/>
    <w:rsid w:val="005B45A4"/>
    <w:rsid w:val="005B4625"/>
    <w:rsid w:val="005B67C6"/>
    <w:rsid w:val="005C0812"/>
    <w:rsid w:val="005C21F4"/>
    <w:rsid w:val="005C3825"/>
    <w:rsid w:val="005C41F4"/>
    <w:rsid w:val="005C5C5B"/>
    <w:rsid w:val="005C612C"/>
    <w:rsid w:val="005C68E9"/>
    <w:rsid w:val="005C735C"/>
    <w:rsid w:val="005C78E2"/>
    <w:rsid w:val="005D010D"/>
    <w:rsid w:val="005D2711"/>
    <w:rsid w:val="005D5186"/>
    <w:rsid w:val="005E0047"/>
    <w:rsid w:val="005E06C9"/>
    <w:rsid w:val="005E10A6"/>
    <w:rsid w:val="005E1524"/>
    <w:rsid w:val="005E1C79"/>
    <w:rsid w:val="005E3720"/>
    <w:rsid w:val="005E40FA"/>
    <w:rsid w:val="005E4211"/>
    <w:rsid w:val="005E4A14"/>
    <w:rsid w:val="005E56FA"/>
    <w:rsid w:val="005E5CDD"/>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20D92"/>
    <w:rsid w:val="00621E40"/>
    <w:rsid w:val="00624DB2"/>
    <w:rsid w:val="00624EEC"/>
    <w:rsid w:val="00624F77"/>
    <w:rsid w:val="0062527E"/>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79B"/>
    <w:rsid w:val="0066298E"/>
    <w:rsid w:val="00663AB8"/>
    <w:rsid w:val="00663B22"/>
    <w:rsid w:val="00665989"/>
    <w:rsid w:val="0066717A"/>
    <w:rsid w:val="00667E29"/>
    <w:rsid w:val="0067136C"/>
    <w:rsid w:val="0067237A"/>
    <w:rsid w:val="006723C3"/>
    <w:rsid w:val="0067324D"/>
    <w:rsid w:val="006743DF"/>
    <w:rsid w:val="00675FAF"/>
    <w:rsid w:val="00680E7D"/>
    <w:rsid w:val="006845AA"/>
    <w:rsid w:val="006845F7"/>
    <w:rsid w:val="00685201"/>
    <w:rsid w:val="00686F8C"/>
    <w:rsid w:val="00687AAB"/>
    <w:rsid w:val="00687AB6"/>
    <w:rsid w:val="006915C7"/>
    <w:rsid w:val="00693F86"/>
    <w:rsid w:val="006950F8"/>
    <w:rsid w:val="006952FB"/>
    <w:rsid w:val="00695C16"/>
    <w:rsid w:val="006962F2"/>
    <w:rsid w:val="006A32AF"/>
    <w:rsid w:val="006A35F8"/>
    <w:rsid w:val="006A4991"/>
    <w:rsid w:val="006A50C2"/>
    <w:rsid w:val="006A6FC5"/>
    <w:rsid w:val="006B1F28"/>
    <w:rsid w:val="006B316A"/>
    <w:rsid w:val="006B4021"/>
    <w:rsid w:val="006B44D0"/>
    <w:rsid w:val="006B45F1"/>
    <w:rsid w:val="006B51AC"/>
    <w:rsid w:val="006B5965"/>
    <w:rsid w:val="006B696B"/>
    <w:rsid w:val="006C261C"/>
    <w:rsid w:val="006C2726"/>
    <w:rsid w:val="006C2E54"/>
    <w:rsid w:val="006C37F6"/>
    <w:rsid w:val="006C48A2"/>
    <w:rsid w:val="006C50C1"/>
    <w:rsid w:val="006C51A9"/>
    <w:rsid w:val="006C714B"/>
    <w:rsid w:val="006D059D"/>
    <w:rsid w:val="006D2165"/>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E03"/>
    <w:rsid w:val="007007A1"/>
    <w:rsid w:val="0070125A"/>
    <w:rsid w:val="00702CF1"/>
    <w:rsid w:val="007031B1"/>
    <w:rsid w:val="00703A83"/>
    <w:rsid w:val="007043E0"/>
    <w:rsid w:val="00704E63"/>
    <w:rsid w:val="00706EF9"/>
    <w:rsid w:val="00707929"/>
    <w:rsid w:val="00710DDE"/>
    <w:rsid w:val="007146CD"/>
    <w:rsid w:val="0071520F"/>
    <w:rsid w:val="00716B50"/>
    <w:rsid w:val="0072113B"/>
    <w:rsid w:val="00722B11"/>
    <w:rsid w:val="00723601"/>
    <w:rsid w:val="00723820"/>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637"/>
    <w:rsid w:val="00745F86"/>
    <w:rsid w:val="00746805"/>
    <w:rsid w:val="00746C15"/>
    <w:rsid w:val="00747672"/>
    <w:rsid w:val="00753EE1"/>
    <w:rsid w:val="00754480"/>
    <w:rsid w:val="00754E31"/>
    <w:rsid w:val="007562DB"/>
    <w:rsid w:val="00756403"/>
    <w:rsid w:val="00756650"/>
    <w:rsid w:val="00761F12"/>
    <w:rsid w:val="00762EED"/>
    <w:rsid w:val="00762F12"/>
    <w:rsid w:val="007663B9"/>
    <w:rsid w:val="007674FD"/>
    <w:rsid w:val="00770CC9"/>
    <w:rsid w:val="007711E5"/>
    <w:rsid w:val="007739D8"/>
    <w:rsid w:val="00774025"/>
    <w:rsid w:val="00774586"/>
    <w:rsid w:val="0077469D"/>
    <w:rsid w:val="0077473A"/>
    <w:rsid w:val="007752AE"/>
    <w:rsid w:val="00775696"/>
    <w:rsid w:val="00777EA0"/>
    <w:rsid w:val="00781B22"/>
    <w:rsid w:val="00782470"/>
    <w:rsid w:val="00782715"/>
    <w:rsid w:val="00782E6F"/>
    <w:rsid w:val="00784596"/>
    <w:rsid w:val="0078493B"/>
    <w:rsid w:val="007873AA"/>
    <w:rsid w:val="00787D3E"/>
    <w:rsid w:val="007904AD"/>
    <w:rsid w:val="0079241A"/>
    <w:rsid w:val="00793B03"/>
    <w:rsid w:val="0079582C"/>
    <w:rsid w:val="00795EE1"/>
    <w:rsid w:val="00795F3B"/>
    <w:rsid w:val="007A0816"/>
    <w:rsid w:val="007A0915"/>
    <w:rsid w:val="007A18C7"/>
    <w:rsid w:val="007A3A47"/>
    <w:rsid w:val="007A6565"/>
    <w:rsid w:val="007B5823"/>
    <w:rsid w:val="007B6F92"/>
    <w:rsid w:val="007B7018"/>
    <w:rsid w:val="007B75DD"/>
    <w:rsid w:val="007C1606"/>
    <w:rsid w:val="007C16B8"/>
    <w:rsid w:val="007C26DD"/>
    <w:rsid w:val="007C3759"/>
    <w:rsid w:val="007C4C48"/>
    <w:rsid w:val="007C6CA3"/>
    <w:rsid w:val="007C780F"/>
    <w:rsid w:val="007D4154"/>
    <w:rsid w:val="007D6B08"/>
    <w:rsid w:val="007D6C86"/>
    <w:rsid w:val="007E1614"/>
    <w:rsid w:val="007E19AA"/>
    <w:rsid w:val="007E2293"/>
    <w:rsid w:val="007E2EB6"/>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5280"/>
    <w:rsid w:val="00856583"/>
    <w:rsid w:val="008565E8"/>
    <w:rsid w:val="00860F3F"/>
    <w:rsid w:val="008615D2"/>
    <w:rsid w:val="0086160E"/>
    <w:rsid w:val="00862774"/>
    <w:rsid w:val="00862ADB"/>
    <w:rsid w:val="00863730"/>
    <w:rsid w:val="008637C6"/>
    <w:rsid w:val="0087072E"/>
    <w:rsid w:val="0087129D"/>
    <w:rsid w:val="00871CCA"/>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506B"/>
    <w:rsid w:val="008C5F53"/>
    <w:rsid w:val="008C6416"/>
    <w:rsid w:val="008D1AB0"/>
    <w:rsid w:val="008D1BBB"/>
    <w:rsid w:val="008D1F8C"/>
    <w:rsid w:val="008D3545"/>
    <w:rsid w:val="008D4986"/>
    <w:rsid w:val="008D4A71"/>
    <w:rsid w:val="008E1D62"/>
    <w:rsid w:val="008E2E54"/>
    <w:rsid w:val="008E42DC"/>
    <w:rsid w:val="008E46FE"/>
    <w:rsid w:val="008E62E7"/>
    <w:rsid w:val="008E6774"/>
    <w:rsid w:val="008E68C5"/>
    <w:rsid w:val="008E7C2B"/>
    <w:rsid w:val="008F1F22"/>
    <w:rsid w:val="008F1FB6"/>
    <w:rsid w:val="008F23D2"/>
    <w:rsid w:val="008F2B32"/>
    <w:rsid w:val="008F3490"/>
    <w:rsid w:val="008F44F8"/>
    <w:rsid w:val="008F45D4"/>
    <w:rsid w:val="008F500B"/>
    <w:rsid w:val="008F6D30"/>
    <w:rsid w:val="008F7880"/>
    <w:rsid w:val="00900B36"/>
    <w:rsid w:val="00902376"/>
    <w:rsid w:val="009036F3"/>
    <w:rsid w:val="00904C64"/>
    <w:rsid w:val="00906436"/>
    <w:rsid w:val="0091084B"/>
    <w:rsid w:val="00911183"/>
    <w:rsid w:val="0091400D"/>
    <w:rsid w:val="00914E1C"/>
    <w:rsid w:val="0091538E"/>
    <w:rsid w:val="0091779D"/>
    <w:rsid w:val="009221D0"/>
    <w:rsid w:val="00925371"/>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DEF"/>
    <w:rsid w:val="00946542"/>
    <w:rsid w:val="0094698D"/>
    <w:rsid w:val="00950797"/>
    <w:rsid w:val="00950EDD"/>
    <w:rsid w:val="00952A16"/>
    <w:rsid w:val="00953DEE"/>
    <w:rsid w:val="0095425F"/>
    <w:rsid w:val="00955D8A"/>
    <w:rsid w:val="00957DA3"/>
    <w:rsid w:val="009602E5"/>
    <w:rsid w:val="00960EE8"/>
    <w:rsid w:val="00961E6F"/>
    <w:rsid w:val="00962C84"/>
    <w:rsid w:val="00964EBE"/>
    <w:rsid w:val="00965D17"/>
    <w:rsid w:val="00967958"/>
    <w:rsid w:val="009735C1"/>
    <w:rsid w:val="009746DB"/>
    <w:rsid w:val="00975047"/>
    <w:rsid w:val="00975743"/>
    <w:rsid w:val="009760F7"/>
    <w:rsid w:val="00976FAE"/>
    <w:rsid w:val="0098142C"/>
    <w:rsid w:val="0098396B"/>
    <w:rsid w:val="00983ACA"/>
    <w:rsid w:val="009843CD"/>
    <w:rsid w:val="00986915"/>
    <w:rsid w:val="009902FA"/>
    <w:rsid w:val="009914CC"/>
    <w:rsid w:val="00991E0F"/>
    <w:rsid w:val="00995E20"/>
    <w:rsid w:val="00996F59"/>
    <w:rsid w:val="00997C13"/>
    <w:rsid w:val="009A2A07"/>
    <w:rsid w:val="009A3AF6"/>
    <w:rsid w:val="009A60D5"/>
    <w:rsid w:val="009A60EF"/>
    <w:rsid w:val="009A6C43"/>
    <w:rsid w:val="009B1D74"/>
    <w:rsid w:val="009B2E76"/>
    <w:rsid w:val="009B3AAF"/>
    <w:rsid w:val="009B5781"/>
    <w:rsid w:val="009B6A30"/>
    <w:rsid w:val="009C0850"/>
    <w:rsid w:val="009C1723"/>
    <w:rsid w:val="009C226B"/>
    <w:rsid w:val="009C4FAE"/>
    <w:rsid w:val="009C51E2"/>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C12"/>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501DB"/>
    <w:rsid w:val="00A51C7D"/>
    <w:rsid w:val="00A53F5E"/>
    <w:rsid w:val="00A55A62"/>
    <w:rsid w:val="00A56D30"/>
    <w:rsid w:val="00A57C13"/>
    <w:rsid w:val="00A606B1"/>
    <w:rsid w:val="00A62DB3"/>
    <w:rsid w:val="00A64E55"/>
    <w:rsid w:val="00A650CC"/>
    <w:rsid w:val="00A65266"/>
    <w:rsid w:val="00A65302"/>
    <w:rsid w:val="00A653F7"/>
    <w:rsid w:val="00A676C3"/>
    <w:rsid w:val="00A67C92"/>
    <w:rsid w:val="00A71428"/>
    <w:rsid w:val="00A74D1F"/>
    <w:rsid w:val="00A76473"/>
    <w:rsid w:val="00A769AA"/>
    <w:rsid w:val="00A774F2"/>
    <w:rsid w:val="00A77F81"/>
    <w:rsid w:val="00A81E59"/>
    <w:rsid w:val="00A82FDF"/>
    <w:rsid w:val="00A84CBC"/>
    <w:rsid w:val="00A8538C"/>
    <w:rsid w:val="00A85D93"/>
    <w:rsid w:val="00A86DB6"/>
    <w:rsid w:val="00A87300"/>
    <w:rsid w:val="00A91154"/>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17DC"/>
    <w:rsid w:val="00B23625"/>
    <w:rsid w:val="00B236C9"/>
    <w:rsid w:val="00B23BEF"/>
    <w:rsid w:val="00B242E6"/>
    <w:rsid w:val="00B266CC"/>
    <w:rsid w:val="00B271A1"/>
    <w:rsid w:val="00B27576"/>
    <w:rsid w:val="00B31D52"/>
    <w:rsid w:val="00B34122"/>
    <w:rsid w:val="00B36208"/>
    <w:rsid w:val="00B36866"/>
    <w:rsid w:val="00B36C92"/>
    <w:rsid w:val="00B41853"/>
    <w:rsid w:val="00B41B24"/>
    <w:rsid w:val="00B430CF"/>
    <w:rsid w:val="00B43D5F"/>
    <w:rsid w:val="00B45E1F"/>
    <w:rsid w:val="00B46333"/>
    <w:rsid w:val="00B46EE0"/>
    <w:rsid w:val="00B50342"/>
    <w:rsid w:val="00B51CBB"/>
    <w:rsid w:val="00B52618"/>
    <w:rsid w:val="00B53999"/>
    <w:rsid w:val="00B54909"/>
    <w:rsid w:val="00B54FC5"/>
    <w:rsid w:val="00B56EB1"/>
    <w:rsid w:val="00B5788C"/>
    <w:rsid w:val="00B60CF5"/>
    <w:rsid w:val="00B62BDA"/>
    <w:rsid w:val="00B6359D"/>
    <w:rsid w:val="00B6521E"/>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FC8"/>
    <w:rsid w:val="00B83CE1"/>
    <w:rsid w:val="00B84151"/>
    <w:rsid w:val="00B90A90"/>
    <w:rsid w:val="00B90DAC"/>
    <w:rsid w:val="00B93D89"/>
    <w:rsid w:val="00B94306"/>
    <w:rsid w:val="00B94721"/>
    <w:rsid w:val="00B94CF3"/>
    <w:rsid w:val="00B95280"/>
    <w:rsid w:val="00B95927"/>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C6EAB"/>
    <w:rsid w:val="00BD0E41"/>
    <w:rsid w:val="00BD3454"/>
    <w:rsid w:val="00BD34FC"/>
    <w:rsid w:val="00BD3B5D"/>
    <w:rsid w:val="00BD42AE"/>
    <w:rsid w:val="00BD54CE"/>
    <w:rsid w:val="00BD57C6"/>
    <w:rsid w:val="00BD64F4"/>
    <w:rsid w:val="00BD757B"/>
    <w:rsid w:val="00BD781C"/>
    <w:rsid w:val="00BE0596"/>
    <w:rsid w:val="00BE0F09"/>
    <w:rsid w:val="00BE1976"/>
    <w:rsid w:val="00BE389F"/>
    <w:rsid w:val="00BE4823"/>
    <w:rsid w:val="00BE50CA"/>
    <w:rsid w:val="00BE5D09"/>
    <w:rsid w:val="00BF0B89"/>
    <w:rsid w:val="00BF2D1A"/>
    <w:rsid w:val="00BF2DFC"/>
    <w:rsid w:val="00BF3356"/>
    <w:rsid w:val="00BF37B2"/>
    <w:rsid w:val="00BF4432"/>
    <w:rsid w:val="00BF4A3E"/>
    <w:rsid w:val="00BF53F1"/>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5F8E"/>
    <w:rsid w:val="00C26029"/>
    <w:rsid w:val="00C26EFD"/>
    <w:rsid w:val="00C40BB8"/>
    <w:rsid w:val="00C45272"/>
    <w:rsid w:val="00C45853"/>
    <w:rsid w:val="00C45E61"/>
    <w:rsid w:val="00C479AF"/>
    <w:rsid w:val="00C52462"/>
    <w:rsid w:val="00C528CA"/>
    <w:rsid w:val="00C54941"/>
    <w:rsid w:val="00C60DD3"/>
    <w:rsid w:val="00C63004"/>
    <w:rsid w:val="00C64181"/>
    <w:rsid w:val="00C662A3"/>
    <w:rsid w:val="00C67A62"/>
    <w:rsid w:val="00C71367"/>
    <w:rsid w:val="00C71731"/>
    <w:rsid w:val="00C7230B"/>
    <w:rsid w:val="00C74D08"/>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E08"/>
    <w:rsid w:val="00CD2131"/>
    <w:rsid w:val="00CD22BB"/>
    <w:rsid w:val="00CD25E3"/>
    <w:rsid w:val="00CD2955"/>
    <w:rsid w:val="00CD6583"/>
    <w:rsid w:val="00CD7C41"/>
    <w:rsid w:val="00CE07E2"/>
    <w:rsid w:val="00CE1CDF"/>
    <w:rsid w:val="00CE25DA"/>
    <w:rsid w:val="00CE2F9C"/>
    <w:rsid w:val="00CE305A"/>
    <w:rsid w:val="00CE3145"/>
    <w:rsid w:val="00CE33FF"/>
    <w:rsid w:val="00CE6589"/>
    <w:rsid w:val="00CF0B19"/>
    <w:rsid w:val="00CF7A7E"/>
    <w:rsid w:val="00D01117"/>
    <w:rsid w:val="00D02591"/>
    <w:rsid w:val="00D03B88"/>
    <w:rsid w:val="00D04B7C"/>
    <w:rsid w:val="00D04C34"/>
    <w:rsid w:val="00D06E6A"/>
    <w:rsid w:val="00D07FCC"/>
    <w:rsid w:val="00D1416A"/>
    <w:rsid w:val="00D14763"/>
    <w:rsid w:val="00D14AE8"/>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40000"/>
    <w:rsid w:val="00D40F72"/>
    <w:rsid w:val="00D4137B"/>
    <w:rsid w:val="00D4222C"/>
    <w:rsid w:val="00D42EE6"/>
    <w:rsid w:val="00D4453B"/>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4AD"/>
    <w:rsid w:val="00DB452C"/>
    <w:rsid w:val="00DB4BB7"/>
    <w:rsid w:val="00DB4E5A"/>
    <w:rsid w:val="00DB5785"/>
    <w:rsid w:val="00DB58E9"/>
    <w:rsid w:val="00DB5B49"/>
    <w:rsid w:val="00DB6F07"/>
    <w:rsid w:val="00DC13BD"/>
    <w:rsid w:val="00DC255E"/>
    <w:rsid w:val="00DC2FDC"/>
    <w:rsid w:val="00DC333F"/>
    <w:rsid w:val="00DC373A"/>
    <w:rsid w:val="00DC567C"/>
    <w:rsid w:val="00DC58CC"/>
    <w:rsid w:val="00DC720A"/>
    <w:rsid w:val="00DC763A"/>
    <w:rsid w:val="00DD39FD"/>
    <w:rsid w:val="00DD610B"/>
    <w:rsid w:val="00DD6735"/>
    <w:rsid w:val="00DD6990"/>
    <w:rsid w:val="00DD6E27"/>
    <w:rsid w:val="00DD7FA3"/>
    <w:rsid w:val="00DE1248"/>
    <w:rsid w:val="00DE7967"/>
    <w:rsid w:val="00DF2D08"/>
    <w:rsid w:val="00DF5E22"/>
    <w:rsid w:val="00DF708A"/>
    <w:rsid w:val="00E002C6"/>
    <w:rsid w:val="00E00E95"/>
    <w:rsid w:val="00E010A7"/>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B0C"/>
    <w:rsid w:val="00E76EF3"/>
    <w:rsid w:val="00E806F4"/>
    <w:rsid w:val="00E8087D"/>
    <w:rsid w:val="00E827D7"/>
    <w:rsid w:val="00E83BDF"/>
    <w:rsid w:val="00E83C63"/>
    <w:rsid w:val="00E84791"/>
    <w:rsid w:val="00E876EF"/>
    <w:rsid w:val="00E9271E"/>
    <w:rsid w:val="00E9376A"/>
    <w:rsid w:val="00E948BA"/>
    <w:rsid w:val="00E9595A"/>
    <w:rsid w:val="00E9712C"/>
    <w:rsid w:val="00EA14EF"/>
    <w:rsid w:val="00EA3003"/>
    <w:rsid w:val="00EA3B88"/>
    <w:rsid w:val="00EA3D03"/>
    <w:rsid w:val="00EA543B"/>
    <w:rsid w:val="00EA5E3F"/>
    <w:rsid w:val="00EA648B"/>
    <w:rsid w:val="00EA6CCD"/>
    <w:rsid w:val="00EA7588"/>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D0FDF"/>
    <w:rsid w:val="00ED39C9"/>
    <w:rsid w:val="00ED51A3"/>
    <w:rsid w:val="00ED51C9"/>
    <w:rsid w:val="00ED5304"/>
    <w:rsid w:val="00EE004B"/>
    <w:rsid w:val="00EE1B68"/>
    <w:rsid w:val="00EE4B6A"/>
    <w:rsid w:val="00EE5E78"/>
    <w:rsid w:val="00EE6F09"/>
    <w:rsid w:val="00EE7236"/>
    <w:rsid w:val="00EE7887"/>
    <w:rsid w:val="00EF2F4D"/>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7B"/>
    <w:rsid w:val="00F377D0"/>
    <w:rsid w:val="00F37B52"/>
    <w:rsid w:val="00F4090E"/>
    <w:rsid w:val="00F40D46"/>
    <w:rsid w:val="00F41512"/>
    <w:rsid w:val="00F41818"/>
    <w:rsid w:val="00F43F68"/>
    <w:rsid w:val="00F44560"/>
    <w:rsid w:val="00F4496A"/>
    <w:rsid w:val="00F4515A"/>
    <w:rsid w:val="00F45509"/>
    <w:rsid w:val="00F45E2D"/>
    <w:rsid w:val="00F50812"/>
    <w:rsid w:val="00F54905"/>
    <w:rsid w:val="00F567A5"/>
    <w:rsid w:val="00F57268"/>
    <w:rsid w:val="00F61056"/>
    <w:rsid w:val="00F6203E"/>
    <w:rsid w:val="00F65EC6"/>
    <w:rsid w:val="00F6726B"/>
    <w:rsid w:val="00F70A90"/>
    <w:rsid w:val="00F718EA"/>
    <w:rsid w:val="00F74924"/>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5E2B"/>
    <w:rsid w:val="00F968E1"/>
    <w:rsid w:val="00FA0A51"/>
    <w:rsid w:val="00FA2001"/>
    <w:rsid w:val="00FA34EF"/>
    <w:rsid w:val="00FA6833"/>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651B"/>
    <w:rsid w:val="00FD6583"/>
    <w:rsid w:val="00FD7A84"/>
    <w:rsid w:val="00FE071D"/>
    <w:rsid w:val="00FE0871"/>
    <w:rsid w:val="00FE0A3A"/>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1804</Words>
  <Characters>10288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Ornasteel</dc:creator>
  <cp:lastModifiedBy>Candice Wong</cp:lastModifiedBy>
  <cp:revision>2</cp:revision>
  <cp:lastPrinted>2012-04-20T08:57:00Z</cp:lastPrinted>
  <dcterms:created xsi:type="dcterms:W3CDTF">2013-11-08T09:50:00Z</dcterms:created>
  <dcterms:modified xsi:type="dcterms:W3CDTF">2013-11-08T09:50:00Z</dcterms:modified>
</cp:coreProperties>
</file>